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92D050"/>
        <w:jc w:val="center"/>
        <w:rPr>
          <w:rFonts w:ascii="Arial" w:hAnsi="Arial" w:cs="Arial"/>
          <w:b/>
          <w:b/>
          <w:sz w:val="28"/>
          <w:szCs w:val="28"/>
          <w:lang w:val="pt-BR"/>
        </w:rPr>
      </w:pPr>
      <w:r>
        <w:rPr>
          <w:rFonts w:cs="Arial" w:ascii="Arial" w:hAnsi="Arial"/>
          <w:b/>
          <w:sz w:val="28"/>
          <w:szCs w:val="28"/>
          <w:lang w:val="pt-BR"/>
        </w:rPr>
        <w:t>MATRIZ SWOT - ANÁLISE DO AMBIENTE</w:t>
      </w:r>
      <w:bookmarkStart w:id="0" w:name="_GoBack"/>
      <w:bookmarkEnd w:id="0"/>
    </w:p>
    <w:tbl>
      <w:tblPr>
        <w:tblStyle w:val="Tabelacomgrade"/>
        <w:tblW w:w="1544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75"/>
        <w:gridCol w:w="3798"/>
        <w:gridCol w:w="3911"/>
        <w:gridCol w:w="3861"/>
      </w:tblGrid>
      <w:tr>
        <w:trPr/>
        <w:tc>
          <w:tcPr>
            <w:tcW w:w="7673" w:type="dxa"/>
            <w:gridSpan w:val="2"/>
            <w:tcBorders/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INTERNO</w:t>
            </w:r>
          </w:p>
        </w:tc>
        <w:tc>
          <w:tcPr>
            <w:tcW w:w="7772" w:type="dxa"/>
            <w:gridSpan w:val="2"/>
            <w:tcBorders/>
            <w:shd w:color="auto" w:fill="E2EF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EXTERNO</w:t>
            </w:r>
          </w:p>
        </w:tc>
      </w:tr>
      <w:tr>
        <w:trPr/>
        <w:tc>
          <w:tcPr>
            <w:tcW w:w="3875" w:type="dxa"/>
            <w:tcBorders/>
            <w:shd w:color="auto" w:fill="92D050" w:val="clear"/>
            <w:vAlign w:val="center"/>
          </w:tcPr>
          <w:p>
            <w:pPr>
              <w:pStyle w:val="Normal"/>
              <w:tabs>
                <w:tab w:val="left" w:pos="1020" w:leader="none"/>
              </w:tabs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PONTOS FORTES</w:t>
            </w:r>
          </w:p>
        </w:tc>
        <w:tc>
          <w:tcPr>
            <w:tcW w:w="3798" w:type="dxa"/>
            <w:tcBorders/>
            <w:shd w:color="auto" w:fill="92D05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PONTOS FRACOS</w:t>
            </w:r>
          </w:p>
        </w:tc>
        <w:tc>
          <w:tcPr>
            <w:tcW w:w="3911" w:type="dxa"/>
            <w:tcBorders/>
            <w:shd w:color="auto" w:fill="92D050" w:val="clear"/>
            <w:vAlign w:val="center"/>
          </w:tcPr>
          <w:p>
            <w:pPr>
              <w:pStyle w:val="Normal"/>
              <w:tabs>
                <w:tab w:val="left" w:pos="1020" w:leader="none"/>
              </w:tabs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OPORTUNIDADES </w:t>
            </w:r>
          </w:p>
        </w:tc>
        <w:tc>
          <w:tcPr>
            <w:tcW w:w="3861" w:type="dxa"/>
            <w:tcBorders/>
            <w:shd w:color="auto" w:fill="92D05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8"/>
                <w:szCs w:val="28"/>
                <w:lang w:val="pt-BR"/>
              </w:rPr>
            </w:pPr>
            <w:r>
              <w:rPr>
                <w:rFonts w:cs="Arial" w:ascii="Arial" w:hAnsi="Arial"/>
                <w:b/>
                <w:sz w:val="28"/>
                <w:szCs w:val="28"/>
                <w:lang w:val="pt-BR"/>
              </w:rPr>
              <w:t>AMEAÇAS</w:t>
            </w:r>
          </w:p>
        </w:tc>
      </w:tr>
      <w:tr>
        <w:trPr/>
        <w:tc>
          <w:tcPr>
            <w:tcW w:w="3875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1020" w:leader="none"/>
              </w:tabs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val="pt-BR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pt-BR"/>
              </w:rPr>
              <w:t>Quais os pontos fortes, forças, qualidades, virtudes ou talentos do Ifal?</w:t>
            </w:r>
          </w:p>
        </w:tc>
        <w:tc>
          <w:tcPr>
            <w:tcW w:w="379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val="pt-BR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pt-BR"/>
              </w:rPr>
              <w:t>Quais os pontos a serem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pt-BR"/>
              </w:rPr>
              <w:t>melhorados,fragilidades, ou dificuldades do Ifal?</w:t>
            </w:r>
          </w:p>
        </w:tc>
        <w:tc>
          <w:tcPr>
            <w:tcW w:w="3911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1020" w:leader="none"/>
              </w:tabs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val="pt-BR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pt-BR"/>
              </w:rPr>
              <w:t>Que situações externas favoráveis existem para aproveitar as potencialidades do Ifal?</w:t>
            </w:r>
          </w:p>
        </w:tc>
        <w:tc>
          <w:tcPr>
            <w:tcW w:w="386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pt-BR"/>
              </w:rPr>
              <w:t>Que situações externas desfavoráveis existem que podem dificultar e/ou impedir de atingir seus objetivos?</w:t>
            </w:r>
          </w:p>
        </w:tc>
      </w:tr>
      <w:tr>
        <w:trPr>
          <w:trHeight w:val="2119" w:hRule="atLeast"/>
        </w:trPr>
        <w:tc>
          <w:tcPr>
            <w:tcW w:w="3875" w:type="dxa"/>
            <w:tcBorders/>
            <w:shd w:color="auto" w:fill="DEEAF6" w:themeFill="accent1" w:themeFillTint="33" w:val="clear"/>
          </w:tcPr>
          <w:p>
            <w:pPr>
              <w:pStyle w:val="Normal"/>
              <w:spacing w:before="0" w:after="0"/>
              <w:rPr>
                <w:lang w:val="pt-BR"/>
              </w:rPr>
            </w:pPr>
            <w:r>
              <w:rPr>
                <w:lang w:val="pt-BR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/>
            </w:pPr>
            <w:r>
              <w:rPr/>
              <w:t>Servidores qualificados.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/>
            </w:pPr>
            <w:r>
              <w:rPr/>
              <w:t>Políticas de permanência estudantil.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/>
            </w:pPr>
            <w:r>
              <w:rPr/>
              <w:t>Capilaridade institucional.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/>
            </w:pPr>
            <w:r>
              <w:rPr/>
              <w:t>Existência de equipe multidisciplinar.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/>
            </w:pPr>
            <w:r>
              <w:rPr/>
              <w:t>Oferta diversificada do ensino.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/>
            </w:pPr>
            <w:r>
              <w:rPr/>
              <w:t>Ensino integrado.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/>
            </w:pPr>
            <w:r>
              <w:rPr/>
              <w:t xml:space="preserve">Incentivo a qualificação profissional. </w:t>
            </w:r>
          </w:p>
          <w:p>
            <w:pPr>
              <w:pStyle w:val="Normal"/>
              <w:spacing w:before="0" w:after="0"/>
              <w:rPr>
                <w:lang w:val="pt-BR"/>
              </w:rPr>
            </w:pPr>
            <w:r>
              <w:rPr>
                <w:lang w:val="pt-BR"/>
              </w:rPr>
            </w:r>
          </w:p>
        </w:tc>
        <w:tc>
          <w:tcPr>
            <w:tcW w:w="3798" w:type="dxa"/>
            <w:tcBorders/>
            <w:shd w:color="auto" w:fill="DEEAF6" w:themeFill="accent1" w:themeFillTint="33" w:val="clea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/>
            </w:pPr>
            <w:r>
              <w:rPr/>
              <w:t>Comunicação Institucional.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/>
            </w:pPr>
            <w:r>
              <w:rPr/>
              <w:t>Processos operacionais não qualificados.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/>
            </w:pPr>
            <w:r>
              <w:rPr/>
              <w:t>Ausência de uma política de qualidade de vida do servidor.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/>
            </w:pPr>
            <w:r>
              <w:rPr/>
              <w:t>Ausência de programas de capacitação aos docentes para receber pessoas com necessidades específicas.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/>
            </w:pPr>
            <w:r>
              <w:rPr/>
              <w:t>Rotatividade de servidores.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/>
            </w:pPr>
            <w:r>
              <w:rPr/>
              <w:t>Evasão (Preocupação).</w:t>
            </w:r>
          </w:p>
        </w:tc>
        <w:tc>
          <w:tcPr>
            <w:tcW w:w="3911" w:type="dxa"/>
            <w:tcBorders/>
            <w:shd w:color="auto" w:fill="DEEAF6" w:themeFill="accent1" w:themeFillTint="33" w:val="clear"/>
          </w:tcPr>
          <w:p>
            <w:pPr>
              <w:pStyle w:val="Normal"/>
              <w:spacing w:before="0" w:after="0"/>
              <w:rPr>
                <w:lang w:val="pt-BR"/>
              </w:rPr>
            </w:pPr>
            <w:r>
              <w:rPr>
                <w:lang w:val="pt-BR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/>
            </w:pPr>
            <w:r>
              <w:rPr/>
              <w:t>Novos arranjos produtivos locais.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/>
            </w:pPr>
            <w:r>
              <w:rPr/>
              <w:t>Possibilidades de parcerias.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/>
            </w:pPr>
            <w:r>
              <w:rPr/>
              <w:t>Ampliação da oferta de novos serviços.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/>
            </w:pPr>
            <w:r>
              <w:rPr/>
              <w:t>Surgimento de novas pequenas e médias empresas.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/>
            </w:pPr>
            <w:r>
              <w:rPr/>
              <w:t>Necessidade de melhoria de qualidade de vida nas comunidades locais.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/>
            </w:pPr>
            <w:r>
              <w:rPr/>
              <w:t xml:space="preserve">Novas tecnologias de informação e comunicação.  </w:t>
            </w:r>
          </w:p>
          <w:p>
            <w:pPr>
              <w:pStyle w:val="Normal"/>
              <w:spacing w:before="0" w:after="0"/>
              <w:rPr>
                <w:lang w:val="pt-BR"/>
              </w:rPr>
            </w:pPr>
            <w:r>
              <w:rPr>
                <w:lang w:val="pt-BR"/>
              </w:rPr>
            </w:r>
          </w:p>
          <w:p>
            <w:pPr>
              <w:pStyle w:val="Normal"/>
              <w:spacing w:before="0" w:after="0"/>
              <w:rPr>
                <w:lang w:val="pt-BR"/>
              </w:rPr>
            </w:pPr>
            <w:r>
              <w:rPr>
                <w:lang w:val="pt-BR"/>
              </w:rPr>
            </w:r>
          </w:p>
          <w:p>
            <w:pPr>
              <w:pStyle w:val="Normal"/>
              <w:spacing w:before="0" w:after="0"/>
              <w:rPr>
                <w:lang w:val="pt-BR"/>
              </w:rPr>
            </w:pPr>
            <w:r>
              <w:rPr>
                <w:lang w:val="pt-BR"/>
              </w:rPr>
            </w:r>
          </w:p>
          <w:p>
            <w:pPr>
              <w:pStyle w:val="Normal"/>
              <w:spacing w:before="0" w:after="0"/>
              <w:rPr>
                <w:lang w:val="pt-BR"/>
              </w:rPr>
            </w:pPr>
            <w:r>
              <w:rPr>
                <w:lang w:val="pt-BR"/>
              </w:rPr>
            </w:r>
          </w:p>
          <w:p>
            <w:pPr>
              <w:pStyle w:val="Normal"/>
              <w:spacing w:before="0" w:after="0"/>
              <w:rPr>
                <w:lang w:val="pt-BR"/>
              </w:rPr>
            </w:pPr>
            <w:r>
              <w:rPr>
                <w:lang w:val="pt-BR"/>
              </w:rPr>
            </w:r>
          </w:p>
          <w:p>
            <w:pPr>
              <w:pStyle w:val="Normal"/>
              <w:spacing w:before="0" w:after="0"/>
              <w:rPr>
                <w:lang w:val="pt-BR"/>
              </w:rPr>
            </w:pPr>
            <w:r>
              <w:rPr>
                <w:lang w:val="pt-BR"/>
              </w:rPr>
            </w:r>
          </w:p>
          <w:p>
            <w:pPr>
              <w:pStyle w:val="Normal"/>
              <w:spacing w:before="0" w:after="0"/>
              <w:rPr>
                <w:lang w:val="pt-BR"/>
              </w:rPr>
            </w:pPr>
            <w:r>
              <w:rPr>
                <w:lang w:val="pt-BR"/>
              </w:rPr>
            </w:r>
          </w:p>
          <w:p>
            <w:pPr>
              <w:pStyle w:val="Normal"/>
              <w:spacing w:before="0" w:after="0"/>
              <w:rPr>
                <w:lang w:val="pt-BR"/>
              </w:rPr>
            </w:pPr>
            <w:r>
              <w:rPr>
                <w:lang w:val="pt-BR"/>
              </w:rPr>
            </w:r>
          </w:p>
          <w:p>
            <w:pPr>
              <w:pStyle w:val="Normal"/>
              <w:spacing w:before="0" w:after="0"/>
              <w:rPr>
                <w:lang w:val="pt-BR"/>
              </w:rPr>
            </w:pPr>
            <w:r>
              <w:rPr>
                <w:lang w:val="pt-BR"/>
              </w:rPr>
            </w:r>
          </w:p>
          <w:p>
            <w:pPr>
              <w:pStyle w:val="Normal"/>
              <w:spacing w:before="0" w:after="0"/>
              <w:rPr>
                <w:lang w:val="pt-BR"/>
              </w:rPr>
            </w:pPr>
            <w:r>
              <w:rPr>
                <w:lang w:val="pt-BR"/>
              </w:rPr>
            </w:r>
          </w:p>
          <w:p>
            <w:pPr>
              <w:pStyle w:val="Normal"/>
              <w:spacing w:before="0" w:after="0"/>
              <w:rPr>
                <w:lang w:val="pt-BR"/>
              </w:rPr>
            </w:pPr>
            <w:r>
              <w:rPr>
                <w:lang w:val="pt-BR"/>
              </w:rPr>
            </w:r>
          </w:p>
          <w:p>
            <w:pPr>
              <w:pStyle w:val="Normal"/>
              <w:spacing w:before="0" w:after="0"/>
              <w:rPr>
                <w:lang w:val="pt-BR"/>
              </w:rPr>
            </w:pPr>
            <w:r>
              <w:rPr>
                <w:lang w:val="pt-BR"/>
              </w:rPr>
            </w:r>
          </w:p>
          <w:p>
            <w:pPr>
              <w:pStyle w:val="Normal"/>
              <w:spacing w:before="0" w:after="0"/>
              <w:rPr>
                <w:lang w:val="pt-BR"/>
              </w:rPr>
            </w:pPr>
            <w:r>
              <w:rPr>
                <w:lang w:val="pt-BR"/>
              </w:rPr>
            </w:r>
          </w:p>
          <w:p>
            <w:pPr>
              <w:pStyle w:val="Normal"/>
              <w:spacing w:before="0" w:after="0"/>
              <w:rPr>
                <w:lang w:val="pt-BR"/>
              </w:rPr>
            </w:pPr>
            <w:r>
              <w:rPr>
                <w:lang w:val="pt-BR"/>
              </w:rPr>
            </w:r>
          </w:p>
          <w:p>
            <w:pPr>
              <w:pStyle w:val="Normal"/>
              <w:spacing w:before="0" w:after="0"/>
              <w:rPr>
                <w:lang w:val="pt-BR"/>
              </w:rPr>
            </w:pPr>
            <w:r>
              <w:rPr>
                <w:lang w:val="pt-BR"/>
              </w:rPr>
            </w:r>
          </w:p>
          <w:p>
            <w:pPr>
              <w:pStyle w:val="Normal"/>
              <w:spacing w:before="0" w:after="0"/>
              <w:rPr>
                <w:lang w:val="pt-BR"/>
              </w:rPr>
            </w:pPr>
            <w:r>
              <w:rPr>
                <w:lang w:val="pt-BR"/>
              </w:rPr>
            </w:r>
          </w:p>
          <w:p>
            <w:pPr>
              <w:pStyle w:val="Normal"/>
              <w:spacing w:before="0" w:after="0"/>
              <w:rPr>
                <w:lang w:val="pt-BR"/>
              </w:rPr>
            </w:pPr>
            <w:r>
              <w:rPr>
                <w:lang w:val="pt-BR"/>
              </w:rPr>
            </w:r>
          </w:p>
          <w:p>
            <w:pPr>
              <w:pStyle w:val="Normal"/>
              <w:spacing w:before="0" w:after="0"/>
              <w:rPr>
                <w:lang w:val="pt-BR"/>
              </w:rPr>
            </w:pPr>
            <w:r>
              <w:rPr>
                <w:lang w:val="pt-BR"/>
              </w:rPr>
            </w:r>
          </w:p>
          <w:p>
            <w:pPr>
              <w:pStyle w:val="Normal"/>
              <w:spacing w:before="0" w:after="0"/>
              <w:rPr>
                <w:lang w:val="pt-BR"/>
              </w:rPr>
            </w:pPr>
            <w:r>
              <w:rPr>
                <w:lang w:val="pt-BR"/>
              </w:rPr>
            </w:r>
          </w:p>
          <w:p>
            <w:pPr>
              <w:pStyle w:val="Normal"/>
              <w:spacing w:before="0" w:after="0"/>
              <w:rPr>
                <w:lang w:val="pt-BR"/>
              </w:rPr>
            </w:pPr>
            <w:r>
              <w:rPr>
                <w:lang w:val="pt-BR"/>
              </w:rPr>
            </w:r>
          </w:p>
          <w:p>
            <w:pPr>
              <w:pStyle w:val="Normal"/>
              <w:spacing w:before="0" w:after="0"/>
              <w:rPr>
                <w:lang w:val="pt-BR"/>
              </w:rPr>
            </w:pPr>
            <w:r>
              <w:rPr>
                <w:lang w:val="pt-BR"/>
              </w:rPr>
            </w:r>
          </w:p>
        </w:tc>
        <w:tc>
          <w:tcPr>
            <w:tcW w:w="3861" w:type="dxa"/>
            <w:tcBorders/>
            <w:shd w:color="auto" w:fill="DEEAF6" w:themeFill="accent1" w:themeFillTint="33" w:val="clear"/>
          </w:tcPr>
          <w:p>
            <w:pPr>
              <w:pStyle w:val="Normal"/>
              <w:spacing w:before="0" w:after="0"/>
              <w:rPr>
                <w:lang w:val="pt-BR"/>
              </w:rPr>
            </w:pPr>
            <w:r>
              <w:rPr>
                <w:lang w:val="pt-BR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/>
            </w:pPr>
            <w:r>
              <w:rPr/>
              <w:t>Retração do orçamento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/>
            </w:pPr>
            <w:r>
              <w:rPr/>
              <w:t>Deficiência do transporte público.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/>
            </w:pPr>
            <w:r>
              <w:rPr/>
              <w:t>Segurança pública.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/>
            </w:pPr>
            <w:r>
              <w:rPr/>
              <w:t>Reforma do ensino médio.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/>
            </w:pPr>
            <w:r>
              <w:rPr/>
              <w:t>Outras instituições ofertando os mesmos cursos.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/>
            </w:pPr>
            <w:r>
              <w:rPr/>
              <w:t>Reforma política.</w:t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3875" w:type="dxa"/>
            <w:tcBorders/>
            <w:shd w:color="auto" w:fill="A8D08D" w:themeFill="accent6" w:themeFillTint="99" w:val="clear"/>
          </w:tcPr>
          <w:p>
            <w:pPr>
              <w:pStyle w:val="Standard"/>
              <w:numPr>
                <w:ilvl w:val="0"/>
                <w:numId w:val="2"/>
              </w:numPr>
              <w:spacing w:before="0" w:after="0"/>
              <w:rPr/>
            </w:pPr>
            <w:r>
              <w:rPr/>
              <w:t>Presença do Ifal nas diferentes microrregiões estaduais (interiorização)</w:t>
            </w:r>
          </w:p>
          <w:p>
            <w:pPr>
              <w:pStyle w:val="Standard"/>
              <w:numPr>
                <w:ilvl w:val="0"/>
                <w:numId w:val="2"/>
              </w:numPr>
              <w:spacing w:before="0" w:after="0"/>
              <w:rPr/>
            </w:pPr>
            <w:r>
              <w:rPr/>
              <w:t>Incentivo à capacitação e qualificação das/os servidoras/es</w:t>
            </w:r>
          </w:p>
          <w:p>
            <w:pPr>
              <w:pStyle w:val="Standard"/>
              <w:numPr>
                <w:ilvl w:val="0"/>
                <w:numId w:val="2"/>
              </w:numPr>
              <w:spacing w:before="0" w:after="0"/>
              <w:rPr/>
            </w:pPr>
            <w:r>
              <w:rPr/>
              <w:t>Servidoras/es qualificadas/os</w:t>
            </w:r>
          </w:p>
          <w:p>
            <w:pPr>
              <w:pStyle w:val="Standard"/>
              <w:numPr>
                <w:ilvl w:val="0"/>
                <w:numId w:val="2"/>
              </w:numPr>
              <w:spacing w:before="0" w:after="0"/>
              <w:rPr/>
            </w:pPr>
            <w:r>
              <w:rPr/>
              <w:t>Imagem institucional</w:t>
            </w:r>
          </w:p>
          <w:p>
            <w:pPr>
              <w:pStyle w:val="Standard"/>
              <w:numPr>
                <w:ilvl w:val="0"/>
                <w:numId w:val="2"/>
              </w:numPr>
              <w:spacing w:before="0" w:after="0"/>
              <w:rPr/>
            </w:pPr>
            <w:r>
              <w:rPr/>
              <w:t>Políticas de ensino, pesquisa e extensão</w:t>
            </w:r>
          </w:p>
          <w:p>
            <w:pPr>
              <w:pStyle w:val="Standard"/>
              <w:numPr>
                <w:ilvl w:val="0"/>
                <w:numId w:val="2"/>
              </w:numPr>
              <w:spacing w:before="0" w:after="0"/>
              <w:rPr/>
            </w:pPr>
            <w:r>
              <w:rPr/>
              <w:t>Política de Assistência Estudantil</w:t>
            </w:r>
          </w:p>
          <w:p>
            <w:pPr>
              <w:pStyle w:val="Normal"/>
              <w:spacing w:before="0" w:after="0"/>
              <w:rPr>
                <w:lang w:val="pt-BR"/>
              </w:rPr>
            </w:pPr>
            <w:r>
              <w:rPr>
                <w:lang w:val="pt-BR"/>
              </w:rPr>
            </w:r>
          </w:p>
        </w:tc>
        <w:tc>
          <w:tcPr>
            <w:tcW w:w="3798" w:type="dxa"/>
            <w:tcBorders/>
            <w:shd w:color="auto" w:fill="A8D08D" w:themeFill="accent6" w:themeFillTint="99" w:val="clear"/>
          </w:tcPr>
          <w:p>
            <w:pPr>
              <w:pStyle w:val="Standard"/>
              <w:numPr>
                <w:ilvl w:val="0"/>
                <w:numId w:val="3"/>
              </w:numPr>
              <w:spacing w:before="0" w:after="0"/>
              <w:rPr/>
            </w:pPr>
            <w:r>
              <w:rPr/>
              <w:t>Indissociabilidade entre ensino, pesquisa e extensão</w:t>
            </w:r>
          </w:p>
          <w:p>
            <w:pPr>
              <w:pStyle w:val="Standard"/>
              <w:numPr>
                <w:ilvl w:val="0"/>
                <w:numId w:val="3"/>
              </w:numPr>
              <w:spacing w:before="0" w:after="0"/>
              <w:rPr/>
            </w:pPr>
            <w:r>
              <w:rPr/>
              <w:t>Evasão escolar</w:t>
            </w:r>
          </w:p>
          <w:p>
            <w:pPr>
              <w:pStyle w:val="Standard"/>
              <w:numPr>
                <w:ilvl w:val="0"/>
                <w:numId w:val="3"/>
              </w:numPr>
              <w:spacing w:before="0" w:after="0"/>
              <w:rPr/>
            </w:pPr>
            <w:r>
              <w:rPr/>
              <w:t>Retenção Escolar</w:t>
            </w:r>
          </w:p>
          <w:p>
            <w:pPr>
              <w:pStyle w:val="Standard"/>
              <w:numPr>
                <w:ilvl w:val="0"/>
                <w:numId w:val="3"/>
              </w:numPr>
              <w:spacing w:before="0" w:after="0"/>
              <w:rPr/>
            </w:pPr>
            <w:r>
              <w:rPr>
                <w:color w:val="000000"/>
              </w:rPr>
              <w:t>Política de Gestão de Pessoas na área de desenvolvimento humano: relacionamento interpessoal e qualidade de vida e bem-estar das/os servidoras/es</w:t>
            </w:r>
          </w:p>
          <w:p>
            <w:pPr>
              <w:pStyle w:val="Standard"/>
              <w:numPr>
                <w:ilvl w:val="0"/>
                <w:numId w:val="3"/>
              </w:numPr>
              <w:spacing w:before="0" w:after="0"/>
              <w:rPr/>
            </w:pPr>
            <w:r>
              <w:rPr/>
              <w:t>Infraestrutura física e de laboratório dos campi</w:t>
            </w:r>
          </w:p>
          <w:p>
            <w:pPr>
              <w:pStyle w:val="Standard"/>
              <w:numPr>
                <w:ilvl w:val="0"/>
                <w:numId w:val="3"/>
              </w:numPr>
              <w:spacing w:before="0" w:after="0"/>
              <w:rPr/>
            </w:pPr>
            <w:r>
              <w:rPr/>
              <w:t>Política institucional de incentivo às ações e práticas artísticas, desportivas, culturais, linguísticas (idiomas) e competições de conhecimento (olimpíadas)</w:t>
            </w:r>
          </w:p>
          <w:p>
            <w:pPr>
              <w:pStyle w:val="Standard"/>
              <w:numPr>
                <w:ilvl w:val="0"/>
                <w:numId w:val="3"/>
              </w:numPr>
              <w:spacing w:before="0" w:after="0"/>
              <w:rPr/>
            </w:pPr>
            <w:r>
              <w:rPr/>
              <w:t>Comunicação interna</w:t>
            </w:r>
          </w:p>
          <w:p>
            <w:pPr>
              <w:pStyle w:val="Standard"/>
              <w:numPr>
                <w:ilvl w:val="0"/>
                <w:numId w:val="3"/>
              </w:numPr>
              <w:spacing w:before="0" w:after="0"/>
              <w:rPr/>
            </w:pPr>
            <w:r>
              <w:rPr/>
              <w:t>Padronização e fluxo de processos</w:t>
            </w:r>
          </w:p>
          <w:p>
            <w:pPr>
              <w:pStyle w:val="Standard"/>
              <w:numPr>
                <w:ilvl w:val="0"/>
                <w:numId w:val="3"/>
              </w:numPr>
              <w:spacing w:before="0" w:after="0"/>
              <w:rPr/>
            </w:pPr>
            <w:r>
              <w:rPr/>
              <w:t>Pessoalidade na gestão</w:t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3911" w:type="dxa"/>
            <w:tcBorders/>
            <w:shd w:color="auto" w:fill="A8D08D" w:themeFill="accent6" w:themeFillTint="99" w:val="clear"/>
          </w:tcPr>
          <w:p>
            <w:pPr>
              <w:pStyle w:val="Standard"/>
              <w:numPr>
                <w:ilvl w:val="0"/>
                <w:numId w:val="4"/>
              </w:numPr>
              <w:spacing w:before="0" w:after="0"/>
              <w:rPr/>
            </w:pPr>
            <w:r>
              <w:rPr/>
              <w:t>Captação de recursos em agências de fomento para pesquisa, extensão e tecnologia</w:t>
            </w:r>
          </w:p>
          <w:p>
            <w:pPr>
              <w:pStyle w:val="Standard"/>
              <w:numPr>
                <w:ilvl w:val="0"/>
                <w:numId w:val="4"/>
              </w:numPr>
              <w:spacing w:before="0" w:after="0"/>
              <w:rPr/>
            </w:pPr>
            <w:r>
              <w:rPr/>
              <w:t>Captação de recursos para infraestrutura por emenda parlamentar</w:t>
            </w:r>
          </w:p>
          <w:p>
            <w:pPr>
              <w:pStyle w:val="Standard"/>
              <w:numPr>
                <w:ilvl w:val="0"/>
                <w:numId w:val="4"/>
              </w:numPr>
              <w:spacing w:before="0" w:after="0"/>
              <w:rPr/>
            </w:pPr>
            <w:r>
              <w:rPr/>
              <w:t>Parceria com o setor produtivo público e privado</w:t>
            </w:r>
          </w:p>
          <w:p>
            <w:pPr>
              <w:pStyle w:val="Standard"/>
              <w:numPr>
                <w:ilvl w:val="0"/>
                <w:numId w:val="4"/>
              </w:numPr>
              <w:spacing w:before="0" w:after="0"/>
              <w:rPr/>
            </w:pPr>
            <w:r>
              <w:rPr/>
              <w:t>Transição do ambiente socioeconômico</w:t>
            </w:r>
          </w:p>
          <w:p>
            <w:pPr>
              <w:pStyle w:val="Standard"/>
              <w:numPr>
                <w:ilvl w:val="0"/>
                <w:numId w:val="4"/>
              </w:numPr>
              <w:spacing w:before="0" w:after="0"/>
              <w:rPr/>
            </w:pPr>
            <w:r>
              <w:rPr/>
              <w:t>Mídia local</w:t>
            </w:r>
          </w:p>
          <w:p>
            <w:pPr>
              <w:pStyle w:val="Standard"/>
              <w:numPr>
                <w:ilvl w:val="0"/>
                <w:numId w:val="4"/>
              </w:numPr>
              <w:spacing w:before="0" w:after="0"/>
              <w:rPr/>
            </w:pPr>
            <w:r>
              <w:rPr/>
              <w:t>Público alvo potencial para nossas ofertas de cursos</w:t>
            </w:r>
          </w:p>
          <w:p>
            <w:pPr>
              <w:pStyle w:val="Standard"/>
              <w:numPr>
                <w:ilvl w:val="0"/>
                <w:numId w:val="4"/>
              </w:numPr>
              <w:spacing w:before="0" w:after="0"/>
              <w:rPr/>
            </w:pPr>
            <w:r>
              <w:rPr/>
              <w:t>Baixo índice de profissionais de nível técnico no mercado</w:t>
            </w:r>
          </w:p>
          <w:p>
            <w:pPr>
              <w:pStyle w:val="Normal"/>
              <w:spacing w:before="0" w:after="0"/>
              <w:rPr>
                <w:lang w:val="pt-BR"/>
              </w:rPr>
            </w:pPr>
            <w:r>
              <w:rPr>
                <w:lang w:val="pt-BR"/>
              </w:rPr>
            </w:r>
          </w:p>
        </w:tc>
        <w:tc>
          <w:tcPr>
            <w:tcW w:w="3861" w:type="dxa"/>
            <w:tcBorders/>
            <w:shd w:color="auto" w:fill="A8D08D" w:themeFill="accent6" w:themeFillTint="99" w:val="clear"/>
          </w:tcPr>
          <w:p>
            <w:pPr>
              <w:pStyle w:val="Standard"/>
              <w:numPr>
                <w:ilvl w:val="0"/>
                <w:numId w:val="5"/>
              </w:numPr>
              <w:spacing w:before="0" w:after="0"/>
              <w:rPr/>
            </w:pPr>
            <w:r>
              <w:rPr/>
              <w:t>Corte orçamentário</w:t>
            </w:r>
          </w:p>
          <w:p>
            <w:pPr>
              <w:pStyle w:val="Standard"/>
              <w:numPr>
                <w:ilvl w:val="0"/>
                <w:numId w:val="5"/>
              </w:num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Instabilidade das políticas educacionais</w:t>
            </w:r>
          </w:p>
          <w:p>
            <w:pPr>
              <w:pStyle w:val="Standard"/>
              <w:numPr>
                <w:ilvl w:val="0"/>
                <w:numId w:val="5"/>
              </w:numPr>
              <w:spacing w:before="0" w:after="0"/>
              <w:rPr/>
            </w:pPr>
            <w:r>
              <w:rPr/>
              <w:t>Reestruturação dos IFs com diminuição do número de campi e servidoras/es</w:t>
            </w:r>
          </w:p>
          <w:p>
            <w:pPr>
              <w:pStyle w:val="Standard"/>
              <w:numPr>
                <w:ilvl w:val="0"/>
                <w:numId w:val="5"/>
              </w:num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Instabilidade no cenário político nacional</w:t>
            </w:r>
          </w:p>
          <w:p>
            <w:pPr>
              <w:pStyle w:val="Standard"/>
              <w:numPr>
                <w:ilvl w:val="0"/>
                <w:numId w:val="5"/>
              </w:numPr>
              <w:spacing w:before="0" w:after="0"/>
              <w:rPr/>
            </w:pPr>
            <w:r>
              <w:rPr/>
              <w:t>Precarização do serviço público (carência de técnicas/os administrativas/os)</w:t>
            </w:r>
          </w:p>
          <w:p>
            <w:pPr>
              <w:pStyle w:val="Standard"/>
              <w:numPr>
                <w:ilvl w:val="0"/>
                <w:numId w:val="5"/>
              </w:numPr>
              <w:spacing w:before="0" w:after="0"/>
              <w:rPr/>
            </w:pPr>
            <w:r>
              <w:rPr/>
              <w:t>Concorrência com as instituições de ensino</w:t>
            </w:r>
          </w:p>
          <w:p>
            <w:pPr>
              <w:pStyle w:val="Normal"/>
              <w:spacing w:before="0" w:after="0"/>
              <w:rPr>
                <w:lang w:val="pt-BR"/>
              </w:rPr>
            </w:pPr>
            <w:r>
              <w:rPr>
                <w:lang w:val="pt-BR"/>
              </w:rPr>
            </w:r>
          </w:p>
        </w:tc>
      </w:tr>
      <w:tr>
        <w:trPr/>
        <w:tc>
          <w:tcPr>
            <w:tcW w:w="3875" w:type="dxa"/>
            <w:tcBorders/>
            <w:shd w:color="auto" w:fill="FFFF00" w:val="clear"/>
          </w:tcPr>
          <w:p>
            <w:pPr>
              <w:pStyle w:val="Standard"/>
              <w:numPr>
                <w:ilvl w:val="0"/>
                <w:numId w:val="2"/>
              </w:numPr>
              <w:spacing w:lineRule="auto" w:line="240" w:before="0" w:after="0"/>
              <w:rPr/>
            </w:pPr>
            <w:r>
              <w:rPr/>
              <w:t>Credibilidade da instituição</w:t>
            </w:r>
          </w:p>
          <w:p>
            <w:pPr>
              <w:pStyle w:val="Standard"/>
              <w:numPr>
                <w:ilvl w:val="0"/>
                <w:numId w:val="2"/>
              </w:numPr>
              <w:spacing w:lineRule="auto" w:line="240" w:before="0" w:after="0"/>
              <w:rPr/>
            </w:pPr>
            <w:r>
              <w:rPr/>
              <w:t>Servidores qualificados</w:t>
            </w:r>
          </w:p>
          <w:p>
            <w:pPr>
              <w:pStyle w:val="Standard"/>
              <w:numPr>
                <w:ilvl w:val="0"/>
                <w:numId w:val="2"/>
              </w:numPr>
              <w:spacing w:lineRule="auto" w:line="240" w:before="0" w:after="0"/>
              <w:rPr/>
            </w:pPr>
            <w:r>
              <w:rPr/>
              <w:t>Abrangência territorial</w:t>
            </w:r>
          </w:p>
          <w:p>
            <w:pPr>
              <w:pStyle w:val="Standard"/>
              <w:numPr>
                <w:ilvl w:val="0"/>
                <w:numId w:val="2"/>
              </w:numPr>
              <w:spacing w:lineRule="auto" w:line="240" w:before="0" w:after="0"/>
              <w:rPr/>
            </w:pPr>
            <w:r>
              <w:rPr/>
              <w:t>Ensino - pesquisa – extensão</w:t>
            </w:r>
          </w:p>
          <w:p>
            <w:pPr>
              <w:pStyle w:val="Standard"/>
              <w:numPr>
                <w:ilvl w:val="0"/>
                <w:numId w:val="2"/>
              </w:numPr>
              <w:spacing w:lineRule="auto" w:line="240" w:before="0" w:after="0"/>
              <w:rPr/>
            </w:pPr>
            <w:r>
              <w:rPr/>
              <w:t>Interação com a comunidade</w:t>
            </w:r>
          </w:p>
        </w:tc>
        <w:tc>
          <w:tcPr>
            <w:tcW w:w="3798" w:type="dxa"/>
            <w:tcBorders/>
            <w:shd w:color="auto" w:fill="FFFF00" w:val="clear"/>
          </w:tcPr>
          <w:p>
            <w:pPr>
              <w:pStyle w:val="Standard"/>
              <w:numPr>
                <w:ilvl w:val="0"/>
                <w:numId w:val="3"/>
              </w:numPr>
              <w:spacing w:lineRule="auto" w:line="240" w:before="0" w:after="0"/>
              <w:rPr/>
            </w:pPr>
            <w:r>
              <w:rPr/>
              <w:t>Aperfeiçoamento profissional</w:t>
            </w:r>
          </w:p>
          <w:p>
            <w:pPr>
              <w:pStyle w:val="Standard"/>
              <w:numPr>
                <w:ilvl w:val="0"/>
                <w:numId w:val="3"/>
              </w:numPr>
              <w:spacing w:lineRule="auto" w:line="240" w:before="0" w:after="0"/>
              <w:rPr/>
            </w:pPr>
            <w:r>
              <w:rPr/>
              <w:t>Dificuldade da indissociabilidade entre ensino pesquisa e extensão</w:t>
            </w:r>
          </w:p>
          <w:p>
            <w:pPr>
              <w:pStyle w:val="Standard"/>
              <w:numPr>
                <w:ilvl w:val="0"/>
                <w:numId w:val="3"/>
              </w:numPr>
              <w:spacing w:lineRule="auto" w:line="240" w:before="0" w:after="0"/>
              <w:rPr/>
            </w:pPr>
            <w:r>
              <w:rPr/>
              <w:t>Dificuldade de diagnóstico das vocações regionais</w:t>
            </w:r>
          </w:p>
          <w:p>
            <w:pPr>
              <w:pStyle w:val="Standard"/>
              <w:numPr>
                <w:ilvl w:val="0"/>
                <w:numId w:val="3"/>
              </w:numPr>
              <w:spacing w:lineRule="auto" w:line="240" w:before="0" w:after="0"/>
              <w:rPr/>
            </w:pPr>
            <w:r>
              <w:rPr/>
              <w:t>Ausência de política de comunicação</w:t>
            </w:r>
          </w:p>
          <w:p>
            <w:pPr>
              <w:pStyle w:val="Standard"/>
              <w:numPr>
                <w:ilvl w:val="0"/>
                <w:numId w:val="3"/>
              </w:numPr>
              <w:spacing w:lineRule="auto" w:line="240" w:before="0" w:after="0"/>
              <w:rPr/>
            </w:pPr>
            <w:r>
              <w:rPr/>
              <w:t>Ausência de política de ocupação de funções</w:t>
            </w:r>
          </w:p>
          <w:p>
            <w:pPr>
              <w:pStyle w:val="Standard"/>
              <w:numPr>
                <w:ilvl w:val="0"/>
                <w:numId w:val="3"/>
              </w:numPr>
              <w:spacing w:lineRule="auto" w:line="240" w:before="0" w:after="0"/>
              <w:rPr/>
            </w:pPr>
            <w:r>
              <w:rPr/>
              <w:t>Lentidão/ burocracia</w:t>
            </w:r>
          </w:p>
          <w:p>
            <w:pPr>
              <w:pStyle w:val="Standard"/>
              <w:numPr>
                <w:ilvl w:val="0"/>
                <w:numId w:val="3"/>
              </w:numPr>
              <w:spacing w:lineRule="auto" w:line="240" w:before="0" w:after="0"/>
              <w:rPr/>
            </w:pPr>
            <w:r>
              <w:rPr/>
              <w:t>Atendimento de pessoas com deficiência</w:t>
            </w:r>
          </w:p>
          <w:p>
            <w:pPr>
              <w:pStyle w:val="Standard"/>
              <w:numPr>
                <w:ilvl w:val="0"/>
                <w:numId w:val="3"/>
              </w:numPr>
              <w:spacing w:lineRule="auto" w:line="240" w:before="0" w:after="0"/>
              <w:rPr/>
            </w:pPr>
            <w:r>
              <w:rPr/>
              <w:t>Cursos integrados em 4 anos</w:t>
            </w:r>
          </w:p>
          <w:p>
            <w:pPr>
              <w:pStyle w:val="Standard"/>
              <w:numPr>
                <w:ilvl w:val="0"/>
                <w:numId w:val="3"/>
              </w:numPr>
              <w:spacing w:lineRule="auto" w:line="240" w:before="0" w:after="0"/>
              <w:rPr/>
            </w:pPr>
            <w:r>
              <w:rPr/>
              <w:t>Dificuldade de integração entre os eixos</w:t>
            </w:r>
          </w:p>
        </w:tc>
        <w:tc>
          <w:tcPr>
            <w:tcW w:w="3911" w:type="dxa"/>
            <w:tcBorders/>
            <w:shd w:color="auto" w:fill="FFFF00" w:val="clear"/>
          </w:tcPr>
          <w:p>
            <w:pPr>
              <w:pStyle w:val="Standard"/>
              <w:numPr>
                <w:ilvl w:val="0"/>
                <w:numId w:val="4"/>
              </w:numPr>
              <w:spacing w:lineRule="auto" w:line="240" w:before="0" w:after="0"/>
              <w:rPr/>
            </w:pPr>
            <w:r>
              <w:rPr/>
              <w:t>Mudança de cenários das atividades econômicas</w:t>
            </w:r>
          </w:p>
          <w:p>
            <w:pPr>
              <w:pStyle w:val="Standard"/>
              <w:numPr>
                <w:ilvl w:val="0"/>
                <w:numId w:val="4"/>
              </w:numPr>
              <w:spacing w:lineRule="auto" w:line="240" w:before="0" w:after="0"/>
              <w:rPr/>
            </w:pPr>
            <w:r>
              <w:rPr/>
              <w:t>Acesso a participação de eventos nacionais e internacionais (olimpídias, dentre outros)</w:t>
            </w:r>
          </w:p>
          <w:p>
            <w:pPr>
              <w:pStyle w:val="Standard"/>
              <w:numPr>
                <w:ilvl w:val="0"/>
                <w:numId w:val="4"/>
              </w:numPr>
              <w:spacing w:lineRule="auto" w:line="240" w:before="0" w:after="0"/>
              <w:rPr/>
            </w:pPr>
            <w:r>
              <w:rPr/>
              <w:t>Parcerias com instituições públicas e privadas</w:t>
            </w:r>
          </w:p>
          <w:p>
            <w:pPr>
              <w:pStyle w:val="Standard"/>
              <w:numPr>
                <w:ilvl w:val="0"/>
                <w:numId w:val="4"/>
              </w:numPr>
              <w:spacing w:lineRule="auto" w:line="240" w:before="0" w:after="0"/>
              <w:rPr/>
            </w:pPr>
            <w:r>
              <w:rPr/>
              <w:t>Exploração dos nichos de mercado</w:t>
            </w:r>
          </w:p>
        </w:tc>
        <w:tc>
          <w:tcPr>
            <w:tcW w:w="3861" w:type="dxa"/>
            <w:tcBorders/>
            <w:shd w:color="auto" w:fill="FFFF00" w:val="clear"/>
          </w:tcPr>
          <w:p>
            <w:pPr>
              <w:pStyle w:val="Standard"/>
              <w:numPr>
                <w:ilvl w:val="0"/>
                <w:numId w:val="5"/>
              </w:numPr>
              <w:spacing w:lineRule="auto" w:line="240" w:before="0" w:after="0"/>
              <w:rPr/>
            </w:pPr>
            <w:r>
              <w:rPr/>
              <w:t>Ausência de código de vagas</w:t>
            </w:r>
          </w:p>
          <w:p>
            <w:pPr>
              <w:pStyle w:val="Standard"/>
              <w:numPr>
                <w:ilvl w:val="0"/>
                <w:numId w:val="5"/>
              </w:numPr>
              <w:spacing w:lineRule="auto" w:line="240" w:before="0" w:after="0"/>
              <w:rPr/>
            </w:pPr>
            <w:r>
              <w:rPr/>
              <w:t>Ausência familiar no processo escolar</w:t>
            </w:r>
          </w:p>
          <w:p>
            <w:pPr>
              <w:pStyle w:val="Standard"/>
              <w:numPr>
                <w:ilvl w:val="0"/>
                <w:numId w:val="5"/>
              </w:numPr>
              <w:spacing w:lineRule="auto" w:line="240" w:before="0" w:after="0"/>
              <w:rPr/>
            </w:pPr>
            <w:r>
              <w:rPr/>
              <w:t>Fragmentação do modelo familiar</w:t>
            </w:r>
          </w:p>
          <w:p>
            <w:pPr>
              <w:pStyle w:val="Standard"/>
              <w:numPr>
                <w:ilvl w:val="0"/>
                <w:numId w:val="5"/>
              </w:numPr>
              <w:spacing w:lineRule="auto" w:line="240" w:before="0" w:after="0"/>
              <w:rPr/>
            </w:pPr>
            <w:r>
              <w:rPr/>
              <w:t>Ineficiência do sistema público de ensino municipal e estadual</w:t>
            </w:r>
          </w:p>
          <w:p>
            <w:pPr>
              <w:pStyle w:val="Standard"/>
              <w:numPr>
                <w:ilvl w:val="0"/>
                <w:numId w:val="5"/>
              </w:numPr>
              <w:spacing w:lineRule="auto" w:line="240" w:before="0" w:after="0"/>
              <w:rPr/>
            </w:pPr>
            <w:r>
              <w:rPr/>
              <w:t>Transporte público ineficiente</w:t>
            </w:r>
          </w:p>
          <w:p>
            <w:pPr>
              <w:pStyle w:val="Standard"/>
              <w:numPr>
                <w:ilvl w:val="0"/>
                <w:numId w:val="5"/>
              </w:numPr>
              <w:spacing w:lineRule="auto" w:line="240" w:before="0" w:after="0"/>
              <w:rPr/>
            </w:pPr>
            <w:r>
              <w:rPr/>
              <w:t>Contexto de reformas federais</w:t>
            </w:r>
          </w:p>
          <w:p>
            <w:pPr>
              <w:pStyle w:val="Standard"/>
              <w:numPr>
                <w:ilvl w:val="0"/>
                <w:numId w:val="5"/>
              </w:numPr>
              <w:spacing w:lineRule="auto" w:line="240" w:before="0" w:after="0"/>
              <w:rPr/>
            </w:pPr>
            <w:r>
              <w:rPr/>
              <w:t>Indefinição do cenário político</w:t>
            </w:r>
          </w:p>
          <w:p>
            <w:pPr>
              <w:pStyle w:val="Standard"/>
              <w:numPr>
                <w:ilvl w:val="0"/>
                <w:numId w:val="5"/>
              </w:numPr>
              <w:spacing w:lineRule="auto" w:line="240" w:before="0" w:after="0"/>
              <w:rPr/>
            </w:pPr>
            <w:r>
              <w:rPr/>
              <w:t>Corte do orçamento</w:t>
            </w:r>
          </w:p>
        </w:tc>
      </w:tr>
      <w:tr>
        <w:trPr/>
        <w:tc>
          <w:tcPr>
            <w:tcW w:w="3875" w:type="dxa"/>
            <w:tcBorders/>
            <w:shd w:color="auto" w:fill="FF0000" w:val="clear"/>
          </w:tcPr>
          <w:p>
            <w:pPr>
              <w:pStyle w:val="Standard"/>
              <w:numPr>
                <w:ilvl w:val="0"/>
                <w:numId w:val="2"/>
              </w:numPr>
              <w:spacing w:lineRule="auto" w:line="240" w:before="0" w:after="0"/>
              <w:rPr/>
            </w:pPr>
            <w:r>
              <w:rPr/>
              <w:t>Qualidade e gratuidade do ensino</w:t>
            </w:r>
          </w:p>
          <w:p>
            <w:pPr>
              <w:pStyle w:val="Standard"/>
              <w:numPr>
                <w:ilvl w:val="0"/>
                <w:numId w:val="2"/>
              </w:numPr>
              <w:spacing w:lineRule="auto" w:line="240" w:before="0" w:after="0"/>
              <w:rPr/>
            </w:pPr>
            <w:r>
              <w:rPr/>
              <w:t>Fortalecimento da trilogia: ensino, pesquisa e extensão</w:t>
            </w:r>
          </w:p>
          <w:p>
            <w:pPr>
              <w:pStyle w:val="Standard"/>
              <w:numPr>
                <w:ilvl w:val="0"/>
                <w:numId w:val="2"/>
              </w:numPr>
              <w:spacing w:lineRule="auto" w:line="240" w:before="0" w:after="0"/>
              <w:rPr/>
            </w:pPr>
            <w:r>
              <w:rPr/>
              <w:t>Presença do Ifal em todas as macrorregiões de Alagoas</w:t>
            </w:r>
          </w:p>
          <w:p>
            <w:pPr>
              <w:pStyle w:val="Standard"/>
              <w:numPr>
                <w:ilvl w:val="0"/>
                <w:numId w:val="2"/>
              </w:numPr>
              <w:spacing w:lineRule="auto" w:line="240" w:before="0" w:after="0"/>
              <w:rPr/>
            </w:pPr>
            <w:r>
              <w:rPr/>
              <w:t>Diversificação dos cursos de acordo com a região de atuação do Instituto</w:t>
            </w:r>
          </w:p>
          <w:p>
            <w:pPr>
              <w:pStyle w:val="Standard"/>
              <w:numPr>
                <w:ilvl w:val="0"/>
                <w:numId w:val="2"/>
              </w:numPr>
              <w:spacing w:lineRule="auto" w:line="240" w:before="0" w:after="0"/>
              <w:rPr/>
            </w:pPr>
            <w:r>
              <w:rPr/>
              <w:t>Servidores qualificados e política de incentivo à qualificação</w:t>
            </w:r>
          </w:p>
          <w:p>
            <w:pPr>
              <w:pStyle w:val="Standard"/>
              <w:numPr>
                <w:ilvl w:val="0"/>
                <w:numId w:val="2"/>
              </w:numPr>
              <w:spacing w:lineRule="auto" w:line="240" w:before="0" w:after="0"/>
              <w:rPr/>
            </w:pPr>
            <w:r>
              <w:rPr/>
              <w:t>Infraestrutura</w:t>
            </w:r>
          </w:p>
        </w:tc>
        <w:tc>
          <w:tcPr>
            <w:tcW w:w="3798" w:type="dxa"/>
            <w:tcBorders/>
            <w:shd w:color="auto" w:fill="FF0000" w:val="clear"/>
          </w:tcPr>
          <w:p>
            <w:pPr>
              <w:pStyle w:val="Standard"/>
              <w:numPr>
                <w:ilvl w:val="0"/>
                <w:numId w:val="3"/>
              </w:numPr>
              <w:spacing w:lineRule="auto" w:line="240" w:before="0" w:after="0"/>
              <w:rPr/>
            </w:pPr>
            <w:r>
              <w:rPr/>
              <w:t>Falta de isonomia no tratamento entre os TAE’S e Docentes</w:t>
            </w:r>
          </w:p>
          <w:p>
            <w:pPr>
              <w:pStyle w:val="Standard"/>
              <w:numPr>
                <w:ilvl w:val="0"/>
                <w:numId w:val="3"/>
              </w:numPr>
              <w:spacing w:lineRule="auto" w:line="240" w:before="0" w:after="0"/>
              <w:rPr/>
            </w:pPr>
            <w:r>
              <w:rPr/>
              <w:t>Falta de padronização dos processos</w:t>
            </w:r>
          </w:p>
          <w:p>
            <w:pPr>
              <w:pStyle w:val="Standard"/>
              <w:numPr>
                <w:ilvl w:val="0"/>
                <w:numId w:val="3"/>
              </w:numPr>
              <w:spacing w:lineRule="auto" w:line="240" w:before="0" w:after="0"/>
              <w:rPr/>
            </w:pPr>
            <w:r>
              <w:rPr/>
              <w:t>Burocracia excessiva</w:t>
            </w:r>
          </w:p>
          <w:p>
            <w:pPr>
              <w:pStyle w:val="Standard"/>
              <w:numPr>
                <w:ilvl w:val="0"/>
                <w:numId w:val="3"/>
              </w:numPr>
              <w:spacing w:lineRule="auto" w:line="240" w:before="0" w:after="0"/>
              <w:rPr/>
            </w:pPr>
            <w:r>
              <w:rPr/>
              <w:t>Pouca articulação do Ifal como setor produtivo</w:t>
            </w:r>
          </w:p>
          <w:p>
            <w:pPr>
              <w:pStyle w:val="Standard"/>
              <w:numPr>
                <w:ilvl w:val="0"/>
                <w:numId w:val="3"/>
              </w:numPr>
              <w:spacing w:lineRule="auto" w:line="240" w:before="0" w:after="0"/>
              <w:rPr/>
            </w:pPr>
            <w:r>
              <w:rPr/>
              <w:t>Falha na comunicação interna (entre setores)</w:t>
            </w:r>
          </w:p>
          <w:p>
            <w:pPr>
              <w:pStyle w:val="Standard"/>
              <w:numPr>
                <w:ilvl w:val="0"/>
                <w:numId w:val="3"/>
              </w:numPr>
              <w:spacing w:lineRule="auto" w:line="240" w:before="0" w:after="0"/>
              <w:rPr/>
            </w:pPr>
            <w:r>
              <w:rPr/>
              <w:t>Má gestão de Recursos Humanos – falta de servidores em várias áreas</w:t>
            </w:r>
          </w:p>
          <w:p>
            <w:pPr>
              <w:pStyle w:val="Standard"/>
              <w:numPr>
                <w:ilvl w:val="0"/>
                <w:numId w:val="3"/>
              </w:numPr>
              <w:spacing w:lineRule="auto" w:line="240" w:before="0" w:after="0"/>
              <w:rPr/>
            </w:pPr>
            <w:r>
              <w:rPr/>
              <w:t>Falta de participação dos servidores nas tomadas de decisão</w:t>
            </w:r>
          </w:p>
          <w:p>
            <w:pPr>
              <w:pStyle w:val="Standard"/>
              <w:numPr>
                <w:ilvl w:val="0"/>
                <w:numId w:val="3"/>
              </w:numPr>
              <w:spacing w:lineRule="auto" w:line="240" w:before="0" w:after="0"/>
              <w:rPr/>
            </w:pPr>
            <w:r>
              <w:rPr/>
              <w:t>Estrutura física deficitária</w:t>
            </w:r>
          </w:p>
          <w:p>
            <w:pPr>
              <w:pStyle w:val="Standard"/>
              <w:numPr>
                <w:ilvl w:val="0"/>
                <w:numId w:val="3"/>
              </w:numPr>
              <w:spacing w:lineRule="auto" w:line="240" w:before="0" w:after="0"/>
              <w:rPr/>
            </w:pPr>
            <w:r>
              <w:rPr/>
              <w:t>Ausência de políticas de qualidade de vida dos servidores</w:t>
            </w:r>
          </w:p>
          <w:p>
            <w:pPr>
              <w:pStyle w:val="Standard"/>
              <w:numPr>
                <w:ilvl w:val="0"/>
                <w:numId w:val="3"/>
              </w:numPr>
              <w:spacing w:lineRule="auto" w:line="240" w:before="0" w:after="0"/>
              <w:rPr/>
            </w:pPr>
            <w:r>
              <w:rPr/>
              <w:t>Deficiência na atuação na comunidade do entorno do Campus</w:t>
            </w:r>
          </w:p>
          <w:p>
            <w:pPr>
              <w:pStyle w:val="Standard"/>
              <w:numPr>
                <w:ilvl w:val="0"/>
                <w:numId w:val="3"/>
              </w:numPr>
              <w:spacing w:lineRule="auto" w:line="240" w:before="0" w:after="0"/>
              <w:rPr/>
            </w:pPr>
            <w:r>
              <w:rPr/>
              <w:t>Falta de padronização das normativas institucionais</w:t>
            </w:r>
          </w:p>
          <w:p>
            <w:pPr>
              <w:pStyle w:val="Standard"/>
              <w:numPr>
                <w:ilvl w:val="0"/>
                <w:numId w:val="3"/>
              </w:numPr>
              <w:spacing w:lineRule="auto" w:line="240" w:before="0" w:after="0"/>
              <w:rPr/>
            </w:pPr>
            <w:r>
              <w:rPr/>
              <w:t>Resistência dos servidores à mudança</w:t>
            </w:r>
          </w:p>
          <w:p>
            <w:pPr>
              <w:pStyle w:val="Standard"/>
              <w:numPr>
                <w:ilvl w:val="0"/>
                <w:numId w:val="3"/>
              </w:numPr>
              <w:spacing w:lineRule="auto" w:line="240" w:before="0" w:after="0"/>
              <w:rPr/>
            </w:pPr>
            <w:r>
              <w:rPr/>
              <w:t>Falta de integração entre a formação geral e a área técnica dos cursos</w:t>
            </w:r>
          </w:p>
          <w:p>
            <w:pPr>
              <w:pStyle w:val="Standard"/>
              <w:numPr>
                <w:ilvl w:val="0"/>
                <w:numId w:val="3"/>
              </w:numPr>
              <w:spacing w:lineRule="auto" w:line="240" w:before="0" w:after="0"/>
              <w:rPr/>
            </w:pPr>
            <w:r>
              <w:rPr/>
              <w:t>Falta de acompanhamento dos egressos</w:t>
            </w:r>
          </w:p>
        </w:tc>
        <w:tc>
          <w:tcPr>
            <w:tcW w:w="3911" w:type="dxa"/>
            <w:tcBorders/>
            <w:shd w:color="auto" w:fill="FF0000" w:val="clear"/>
          </w:tcPr>
          <w:p>
            <w:pPr>
              <w:pStyle w:val="Standard"/>
              <w:numPr>
                <w:ilvl w:val="0"/>
                <w:numId w:val="4"/>
              </w:numPr>
              <w:spacing w:lineRule="auto" w:line="240" w:before="0" w:after="0"/>
              <w:rPr/>
            </w:pPr>
            <w:r>
              <w:rPr/>
              <w:t>Exigência de profissionais qualificados pelo mercado</w:t>
            </w:r>
          </w:p>
          <w:p>
            <w:pPr>
              <w:pStyle w:val="Standard"/>
              <w:numPr>
                <w:ilvl w:val="0"/>
                <w:numId w:val="4"/>
              </w:numPr>
              <w:spacing w:lineRule="auto" w:line="240" w:before="0" w:after="0"/>
              <w:rPr/>
            </w:pPr>
            <w:r>
              <w:rPr/>
              <w:t>Melhoria da situação econômica do estado</w:t>
            </w:r>
          </w:p>
          <w:p>
            <w:pPr>
              <w:pStyle w:val="Standard"/>
              <w:numPr>
                <w:ilvl w:val="0"/>
                <w:numId w:val="4"/>
              </w:numPr>
              <w:spacing w:lineRule="auto" w:line="240" w:before="0" w:after="0"/>
              <w:rPr/>
            </w:pPr>
            <w:r>
              <w:rPr/>
              <w:t>Diversificação da economia para criação de novos cursos</w:t>
            </w:r>
          </w:p>
          <w:p>
            <w:pPr>
              <w:pStyle w:val="Standard"/>
              <w:numPr>
                <w:ilvl w:val="0"/>
                <w:numId w:val="4"/>
              </w:numPr>
              <w:spacing w:lineRule="auto" w:line="240" w:before="0" w:after="0"/>
              <w:rPr/>
            </w:pPr>
            <w:r>
              <w:rPr/>
              <w:t>Ofertas de políticas sociais para manter os alunos na escola</w:t>
            </w:r>
          </w:p>
          <w:p>
            <w:pPr>
              <w:pStyle w:val="Standard"/>
              <w:numPr>
                <w:ilvl w:val="0"/>
                <w:numId w:val="4"/>
              </w:numPr>
              <w:spacing w:lineRule="auto" w:line="240" w:before="0" w:after="0"/>
              <w:rPr/>
            </w:pPr>
            <w:r>
              <w:rPr/>
              <w:t>Possibilidade de parcerias com outras instituições</w:t>
            </w:r>
          </w:p>
          <w:p>
            <w:pPr>
              <w:pStyle w:val="Standard"/>
              <w:numPr>
                <w:ilvl w:val="0"/>
                <w:numId w:val="4"/>
              </w:numPr>
              <w:spacing w:lineRule="auto" w:line="240" w:before="0" w:after="0"/>
              <w:rPr/>
            </w:pPr>
            <w:r>
              <w:rPr/>
              <w:t>Empreendedorismo</w:t>
            </w:r>
          </w:p>
        </w:tc>
        <w:tc>
          <w:tcPr>
            <w:tcW w:w="3861" w:type="dxa"/>
            <w:tcBorders/>
            <w:shd w:color="auto" w:fill="FF0000" w:val="clear"/>
          </w:tcPr>
          <w:p>
            <w:pPr>
              <w:pStyle w:val="Standard"/>
              <w:numPr>
                <w:ilvl w:val="0"/>
                <w:numId w:val="5"/>
              </w:numPr>
              <w:spacing w:lineRule="auto" w:line="240" w:before="0" w:after="0"/>
              <w:rPr/>
            </w:pPr>
            <w:r>
              <w:rPr/>
              <w:t>Cenário político instável</w:t>
            </w:r>
          </w:p>
          <w:p>
            <w:pPr>
              <w:pStyle w:val="Standard"/>
              <w:numPr>
                <w:ilvl w:val="0"/>
                <w:numId w:val="5"/>
              </w:numPr>
              <w:spacing w:lineRule="auto" w:line="240" w:before="0" w:after="0"/>
              <w:rPr/>
            </w:pPr>
            <w:r>
              <w:rPr/>
              <w:t>Dificuldade na mobilidade estudantil intermunicípios</w:t>
            </w:r>
          </w:p>
          <w:p>
            <w:pPr>
              <w:pStyle w:val="Standard"/>
              <w:numPr>
                <w:ilvl w:val="0"/>
                <w:numId w:val="5"/>
              </w:numPr>
              <w:spacing w:lineRule="auto" w:line="240" w:before="0" w:after="0"/>
              <w:rPr/>
            </w:pPr>
            <w:r>
              <w:rPr/>
              <w:t>Vulnerabilidade social</w:t>
            </w:r>
          </w:p>
          <w:p>
            <w:pPr>
              <w:pStyle w:val="Standard"/>
              <w:numPr>
                <w:ilvl w:val="0"/>
                <w:numId w:val="5"/>
              </w:numPr>
              <w:spacing w:lineRule="auto" w:line="240" w:before="0" w:after="0"/>
              <w:rPr/>
            </w:pPr>
            <w:r>
              <w:rPr/>
              <w:t>Reforma do ensino médio</w:t>
            </w:r>
          </w:p>
          <w:p>
            <w:pPr>
              <w:pStyle w:val="Standard"/>
              <w:numPr>
                <w:ilvl w:val="0"/>
                <w:numId w:val="5"/>
              </w:numPr>
              <w:spacing w:lineRule="auto" w:line="240" w:before="0" w:after="0"/>
              <w:rPr/>
            </w:pPr>
            <w:r>
              <w:rPr/>
              <w:t>Congelamento do orçamento</w:t>
            </w:r>
          </w:p>
        </w:tc>
      </w:tr>
      <w:tr>
        <w:trPr/>
        <w:tc>
          <w:tcPr>
            <w:tcW w:w="3875" w:type="dxa"/>
            <w:tcBorders/>
            <w:shd w:color="auto" w:fill="FFC000" w:val="clear"/>
          </w:tcPr>
          <w:p>
            <w:pPr>
              <w:pStyle w:val="Standard"/>
              <w:numPr>
                <w:ilvl w:val="0"/>
                <w:numId w:val="2"/>
              </w:numPr>
              <w:spacing w:lineRule="auto" w:line="240" w:before="0" w:after="0"/>
              <w:rPr/>
            </w:pPr>
            <w:r>
              <w:rPr/>
              <w:t>Oportunidade de crescimento profissional</w:t>
            </w:r>
          </w:p>
          <w:p>
            <w:pPr>
              <w:pStyle w:val="Standard"/>
              <w:numPr>
                <w:ilvl w:val="0"/>
                <w:numId w:val="2"/>
              </w:numPr>
              <w:spacing w:lineRule="auto" w:line="240" w:before="0" w:after="0"/>
              <w:rPr/>
            </w:pPr>
            <w:r>
              <w:rPr/>
              <w:t>Servidores qualificados</w:t>
            </w:r>
          </w:p>
          <w:p>
            <w:pPr>
              <w:pStyle w:val="Standard"/>
              <w:numPr>
                <w:ilvl w:val="0"/>
                <w:numId w:val="2"/>
              </w:numPr>
              <w:spacing w:lineRule="auto" w:line="240" w:before="0" w:after="0"/>
              <w:rPr/>
            </w:pPr>
            <w:r>
              <w:rPr/>
              <w:t>Ensino gratuito de Qualidade</w:t>
            </w:r>
          </w:p>
          <w:p>
            <w:pPr>
              <w:pStyle w:val="Standard"/>
              <w:numPr>
                <w:ilvl w:val="0"/>
                <w:numId w:val="2"/>
              </w:numPr>
              <w:spacing w:lineRule="auto" w:line="240" w:before="0" w:after="0"/>
              <w:rPr/>
            </w:pPr>
            <w:r>
              <w:rPr/>
              <w:t>Verticalização do ensino</w:t>
            </w:r>
          </w:p>
          <w:p>
            <w:pPr>
              <w:pStyle w:val="Standard"/>
              <w:numPr>
                <w:ilvl w:val="0"/>
                <w:numId w:val="2"/>
              </w:numPr>
              <w:spacing w:lineRule="auto" w:line="240" w:before="0" w:after="0"/>
              <w:rPr/>
            </w:pPr>
            <w:r>
              <w:rPr/>
              <w:t>Capilaridade</w:t>
            </w:r>
          </w:p>
          <w:p>
            <w:pPr>
              <w:pStyle w:val="Standard"/>
              <w:numPr>
                <w:ilvl w:val="0"/>
                <w:numId w:val="2"/>
              </w:numPr>
              <w:spacing w:lineRule="auto" w:line="240" w:before="0" w:after="0"/>
              <w:rPr/>
            </w:pPr>
            <w:r>
              <w:rPr/>
              <w:t>Formação integral</w:t>
            </w:r>
          </w:p>
          <w:p>
            <w:pPr>
              <w:pStyle w:val="Standard"/>
              <w:numPr>
                <w:ilvl w:val="0"/>
                <w:numId w:val="2"/>
              </w:numPr>
              <w:spacing w:lineRule="auto" w:line="240" w:before="0" w:after="0"/>
              <w:rPr/>
            </w:pPr>
            <w:r>
              <w:rPr/>
              <w:t>Gestão democrática</w:t>
            </w:r>
          </w:p>
          <w:p>
            <w:pPr>
              <w:pStyle w:val="Standard"/>
              <w:numPr>
                <w:ilvl w:val="0"/>
                <w:numId w:val="2"/>
              </w:numPr>
              <w:spacing w:lineRule="auto" w:line="240" w:before="0" w:after="0"/>
              <w:rPr/>
            </w:pPr>
            <w:r>
              <w:rPr/>
              <w:t>Investimento e política de pesquisa e extensão nos diversos níveis</w:t>
            </w:r>
          </w:p>
          <w:p>
            <w:pPr>
              <w:pStyle w:val="Standard"/>
              <w:numPr>
                <w:ilvl w:val="0"/>
                <w:numId w:val="2"/>
              </w:numPr>
              <w:spacing w:lineRule="auto" w:line="240" w:before="0" w:after="0"/>
              <w:rPr/>
            </w:pPr>
            <w:r>
              <w:rPr/>
              <w:t>Proposta pedagógica sólida</w:t>
            </w:r>
          </w:p>
          <w:p>
            <w:pPr>
              <w:pStyle w:val="Standard"/>
              <w:numPr>
                <w:ilvl w:val="0"/>
                <w:numId w:val="2"/>
              </w:numPr>
              <w:spacing w:lineRule="auto" w:line="240" w:before="0" w:after="0"/>
              <w:rPr/>
            </w:pPr>
            <w:r>
              <w:rPr/>
              <w:t>Investimento na política de assistência estudantil</w:t>
            </w:r>
          </w:p>
          <w:p>
            <w:pPr>
              <w:pStyle w:val="Standard"/>
              <w:numPr>
                <w:ilvl w:val="0"/>
                <w:numId w:val="2"/>
              </w:numPr>
              <w:spacing w:lineRule="auto" w:line="240" w:before="0" w:after="0"/>
              <w:rPr/>
            </w:pPr>
            <w:r>
              <w:rPr/>
              <w:t>Incentivo a internacionalização</w:t>
            </w:r>
          </w:p>
        </w:tc>
        <w:tc>
          <w:tcPr>
            <w:tcW w:w="3798" w:type="dxa"/>
            <w:tcBorders/>
            <w:shd w:color="auto" w:fill="FFC000" w:val="clear"/>
          </w:tcPr>
          <w:p>
            <w:pPr>
              <w:pStyle w:val="Standard"/>
              <w:numPr>
                <w:ilvl w:val="0"/>
                <w:numId w:val="3"/>
              </w:numPr>
              <w:spacing w:lineRule="auto" w:line="240" w:before="0" w:after="0"/>
              <w:rPr/>
            </w:pPr>
            <w:r>
              <w:rPr/>
              <w:t>Estrutura física deficiente em alguns campi</w:t>
            </w:r>
          </w:p>
          <w:p>
            <w:pPr>
              <w:pStyle w:val="Standard"/>
              <w:numPr>
                <w:ilvl w:val="0"/>
                <w:numId w:val="3"/>
              </w:numPr>
              <w:spacing w:lineRule="auto" w:line="240" w:before="0" w:after="0"/>
              <w:rPr/>
            </w:pPr>
            <w:r>
              <w:rPr/>
              <w:t>Fragilidade da expansão</w:t>
            </w:r>
          </w:p>
          <w:p>
            <w:pPr>
              <w:pStyle w:val="Standard"/>
              <w:numPr>
                <w:ilvl w:val="0"/>
                <w:numId w:val="3"/>
              </w:numPr>
              <w:spacing w:lineRule="auto" w:line="240" w:before="0" w:after="0"/>
              <w:rPr/>
            </w:pPr>
            <w:r>
              <w:rPr/>
              <w:t>Manutenção</w:t>
            </w:r>
          </w:p>
          <w:p>
            <w:pPr>
              <w:pStyle w:val="Standard"/>
              <w:numPr>
                <w:ilvl w:val="0"/>
                <w:numId w:val="3"/>
              </w:numPr>
              <w:spacing w:lineRule="auto" w:line="240" w:before="0" w:after="0"/>
              <w:rPr/>
            </w:pPr>
            <w:r>
              <w:rPr/>
              <w:t>Comunicação</w:t>
            </w:r>
          </w:p>
          <w:p>
            <w:pPr>
              <w:pStyle w:val="Standard"/>
              <w:numPr>
                <w:ilvl w:val="0"/>
                <w:numId w:val="3"/>
              </w:numPr>
              <w:spacing w:lineRule="auto" w:line="240" w:before="0" w:after="0"/>
              <w:rPr/>
            </w:pPr>
            <w:r>
              <w:rPr/>
              <w:t>Evasão e retenção</w:t>
            </w:r>
          </w:p>
          <w:p>
            <w:pPr>
              <w:pStyle w:val="Standard"/>
              <w:numPr>
                <w:ilvl w:val="0"/>
                <w:numId w:val="3"/>
              </w:numPr>
              <w:spacing w:lineRule="auto" w:line="240" w:before="0" w:after="0"/>
              <w:rPr/>
            </w:pPr>
            <w:r>
              <w:rPr/>
              <w:t>Formação continuada dos professores</w:t>
            </w:r>
          </w:p>
          <w:p>
            <w:pPr>
              <w:pStyle w:val="Standard"/>
              <w:numPr>
                <w:ilvl w:val="0"/>
                <w:numId w:val="3"/>
              </w:numPr>
              <w:spacing w:lineRule="auto" w:line="240" w:before="0" w:after="0"/>
              <w:rPr/>
            </w:pPr>
            <w:r>
              <w:rPr/>
              <w:t>Falta de equipamentos para pesquisa e extensão</w:t>
            </w:r>
          </w:p>
          <w:p>
            <w:pPr>
              <w:pStyle w:val="Standard"/>
              <w:numPr>
                <w:ilvl w:val="0"/>
                <w:numId w:val="3"/>
              </w:numPr>
              <w:spacing w:lineRule="auto" w:line="240" w:before="0" w:after="0"/>
              <w:rPr/>
            </w:pPr>
            <w:r>
              <w:rPr/>
              <w:t>Falta discussão sobre o orçamento participativo</w:t>
            </w:r>
          </w:p>
          <w:p>
            <w:pPr>
              <w:pStyle w:val="Standard"/>
              <w:numPr>
                <w:ilvl w:val="0"/>
                <w:numId w:val="3"/>
              </w:numPr>
              <w:spacing w:lineRule="auto" w:line="240" w:before="0" w:after="0"/>
              <w:rPr/>
            </w:pPr>
            <w:r>
              <w:rPr/>
              <w:t>Manutenção de laboratórios – contratações</w:t>
            </w:r>
          </w:p>
          <w:p>
            <w:pPr>
              <w:pStyle w:val="Standard"/>
              <w:spacing w:lineRule="auto" w:line="240" w:before="0" w:after="0"/>
              <w:ind w:left="720" w:hanging="0"/>
              <w:rPr/>
            </w:pPr>
            <w:r>
              <w:rPr/>
            </w:r>
          </w:p>
        </w:tc>
        <w:tc>
          <w:tcPr>
            <w:tcW w:w="3911" w:type="dxa"/>
            <w:tcBorders/>
            <w:shd w:color="auto" w:fill="FFC000" w:val="clear"/>
          </w:tcPr>
          <w:p>
            <w:pPr>
              <w:pStyle w:val="Standard"/>
              <w:numPr>
                <w:ilvl w:val="0"/>
                <w:numId w:val="4"/>
              </w:numPr>
              <w:spacing w:lineRule="auto" w:line="240" w:before="0" w:after="0"/>
              <w:rPr/>
            </w:pPr>
            <w:r>
              <w:rPr/>
              <w:t>Reconhecimento social e mobilidade acadêmica</w:t>
            </w:r>
          </w:p>
          <w:p>
            <w:pPr>
              <w:pStyle w:val="Standard"/>
              <w:numPr>
                <w:ilvl w:val="0"/>
                <w:numId w:val="4"/>
              </w:numPr>
              <w:spacing w:lineRule="auto" w:line="240" w:before="0" w:after="0"/>
              <w:rPr/>
            </w:pPr>
            <w:r>
              <w:rPr/>
              <w:t>Parcerias com entes públicos</w:t>
            </w:r>
          </w:p>
          <w:p>
            <w:pPr>
              <w:pStyle w:val="Standard"/>
              <w:numPr>
                <w:ilvl w:val="0"/>
                <w:numId w:val="4"/>
              </w:numPr>
              <w:spacing w:lineRule="auto" w:line="240" w:before="0" w:after="0"/>
              <w:rPr/>
            </w:pPr>
            <w:r>
              <w:rPr/>
              <w:t>Internacionalização</w:t>
            </w:r>
          </w:p>
          <w:p>
            <w:pPr>
              <w:pStyle w:val="Standard"/>
              <w:spacing w:lineRule="auto" w:line="240" w:before="0" w:after="0"/>
              <w:ind w:left="720" w:hanging="0"/>
              <w:rPr/>
            </w:pPr>
            <w:r>
              <w:rPr/>
            </w:r>
          </w:p>
        </w:tc>
        <w:tc>
          <w:tcPr>
            <w:tcW w:w="3861" w:type="dxa"/>
            <w:tcBorders/>
            <w:shd w:color="auto" w:fill="FFC000" w:val="clear"/>
          </w:tcPr>
          <w:p>
            <w:pPr>
              <w:pStyle w:val="Standard"/>
              <w:numPr>
                <w:ilvl w:val="0"/>
                <w:numId w:val="5"/>
              </w:numPr>
              <w:spacing w:lineRule="auto" w:line="240" w:before="0" w:after="0"/>
              <w:rPr/>
            </w:pPr>
            <w:r>
              <w:rPr/>
              <w:t>Cenário político-econômico</w:t>
            </w:r>
          </w:p>
          <w:p>
            <w:pPr>
              <w:pStyle w:val="Standard"/>
              <w:numPr>
                <w:ilvl w:val="0"/>
                <w:numId w:val="5"/>
              </w:numPr>
              <w:spacing w:lineRule="auto" w:line="240" w:before="0" w:after="0"/>
              <w:rPr/>
            </w:pPr>
            <w:r>
              <w:rPr/>
              <w:t xml:space="preserve">Redução de Recursos </w:t>
            </w:r>
          </w:p>
          <w:p>
            <w:pPr>
              <w:pStyle w:val="Standard"/>
              <w:numPr>
                <w:ilvl w:val="0"/>
                <w:numId w:val="5"/>
              </w:numPr>
              <w:spacing w:lineRule="auto" w:line="240" w:before="0" w:after="0"/>
              <w:rPr/>
            </w:pPr>
            <w:r>
              <w:rPr/>
              <w:t>Transporte escolar</w:t>
            </w:r>
          </w:p>
          <w:p>
            <w:pPr>
              <w:pStyle w:val="Standard"/>
              <w:numPr>
                <w:ilvl w:val="0"/>
                <w:numId w:val="5"/>
              </w:numPr>
              <w:spacing w:lineRule="auto" w:line="240" w:before="0" w:after="0"/>
              <w:rPr/>
            </w:pPr>
            <w:r>
              <w:rPr/>
              <w:t>Reforma do ensino médio</w:t>
            </w:r>
          </w:p>
          <w:p>
            <w:pPr>
              <w:pStyle w:val="Standard"/>
              <w:numPr>
                <w:ilvl w:val="0"/>
                <w:numId w:val="5"/>
              </w:numPr>
              <w:spacing w:lineRule="auto" w:line="240" w:before="0" w:after="0"/>
              <w:rPr/>
            </w:pPr>
            <w:r>
              <w:rPr/>
              <w:t>Fragilidades do ensino fundamental</w:t>
            </w:r>
          </w:p>
          <w:p>
            <w:pPr>
              <w:pStyle w:val="Standard"/>
              <w:numPr>
                <w:ilvl w:val="0"/>
                <w:numId w:val="5"/>
              </w:numPr>
              <w:spacing w:lineRule="auto" w:line="240" w:before="0" w:after="0"/>
              <w:rPr/>
            </w:pPr>
            <w:r>
              <w:rPr/>
              <w:t xml:space="preserve">Fatores sócio-econômicos das </w:t>
            </w:r>
          </w:p>
          <w:p>
            <w:pPr>
              <w:pStyle w:val="Standard"/>
              <w:spacing w:lineRule="auto" w:line="240" w:before="0" w:after="0"/>
              <w:ind w:left="720" w:hanging="0"/>
              <w:rPr/>
            </w:pPr>
            <w:r>
              <w:rPr/>
              <w:t>Famílias</w:t>
            </w:r>
          </w:p>
          <w:p>
            <w:pPr>
              <w:pStyle w:val="Standard"/>
              <w:spacing w:lineRule="auto" w:line="240" w:before="0" w:after="0"/>
              <w:ind w:left="720" w:hanging="0"/>
              <w:rPr/>
            </w:pPr>
            <w:r>
              <w:rPr/>
              <w:t xml:space="preserve"> </w:t>
            </w:r>
          </w:p>
        </w:tc>
      </w:tr>
    </w:tbl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tabs>
          <w:tab w:val="left" w:pos="1020" w:leader="none"/>
        </w:tabs>
        <w:ind w:left="-567" w:hanging="0"/>
        <w:rPr>
          <w:lang w:val="pt-BR"/>
        </w:rPr>
      </w:pPr>
      <w:r>
        <w:rPr>
          <w:lang w:val="pt-BR"/>
        </w:rPr>
      </w:r>
    </w:p>
    <w:p>
      <w:pPr>
        <w:pStyle w:val="Normal"/>
        <w:tabs>
          <w:tab w:val="left" w:pos="6189" w:leader="none"/>
        </w:tabs>
        <w:spacing w:before="0" w:after="160"/>
        <w:rPr/>
      </w:pPr>
      <w:r>
        <w:rPr>
          <w:lang w:val="pt-BR"/>
        </w:rPr>
        <w:tab/>
      </w:r>
    </w:p>
    <w:sectPr>
      <w:headerReference w:type="default" r:id="rId2"/>
      <w:footerReference w:type="default" r:id="rId3"/>
      <w:type w:val="nextPage"/>
      <w:pgSz w:orient="landscape" w:w="16838" w:h="11906"/>
      <w:pgMar w:left="708" w:right="537" w:header="0" w:top="1394" w:footer="21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pranq eco sans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/>
      <w:drawing>
        <wp:inline distT="0" distB="3175" distL="0" distR="0">
          <wp:extent cx="7879080" cy="466725"/>
          <wp:effectExtent l="0" t="0" r="0" b="0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79080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enter" w:pos="4252" w:leader="none"/>
        <w:tab w:val="center" w:pos="7938" w:leader="none"/>
        <w:tab w:val="right" w:pos="8504" w:leader="none"/>
      </w:tabs>
      <w:ind w:left="284" w:hanging="0"/>
      <w:jc w:val="center"/>
      <w:rPr/>
    </w:pPr>
    <w:r>
      <w:rPr/>
    </w:r>
  </w:p>
  <w:p>
    <w:pPr>
      <w:pStyle w:val="Cabealho"/>
      <w:tabs>
        <w:tab w:val="center" w:pos="4252" w:leader="none"/>
        <w:tab w:val="center" w:pos="7938" w:leader="none"/>
        <w:tab w:val="right" w:pos="8504" w:leader="none"/>
      </w:tabs>
      <w:ind w:left="284" w:hanging="0"/>
      <w:jc w:val="center"/>
      <w:rPr/>
    </w:pPr>
    <w:r>
      <w:rPr/>
    </w:r>
  </w:p>
  <w:p>
    <w:pPr>
      <w:pStyle w:val="Cabealho"/>
      <w:tabs>
        <w:tab w:val="center" w:pos="4252" w:leader="none"/>
        <w:tab w:val="center" w:pos="7938" w:leader="none"/>
        <w:tab w:val="right" w:pos="8504" w:leader="none"/>
      </w:tabs>
      <w:ind w:left="284" w:hanging="0"/>
      <w:jc w:val="center"/>
      <w:rPr/>
    </w:pPr>
    <w:r>
      <w:rPr/>
      <w:drawing>
        <wp:inline distT="0" distB="0" distL="0" distR="0">
          <wp:extent cx="7423150" cy="91440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7449" r="0" b="12995"/>
                  <a:stretch>
                    <a:fillRect/>
                  </a:stretch>
                </pic:blipFill>
                <pic:spPr bwMode="auto">
                  <a:xfrm>
                    <a:off x="0" y="0"/>
                    <a:ext cx="742315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tabs>
        <w:tab w:val="center" w:pos="4252" w:leader="none"/>
        <w:tab w:val="center" w:pos="7938" w:leader="none"/>
        <w:tab w:val="right" w:pos="8504" w:leader="none"/>
      </w:tabs>
      <w:ind w:left="284" w:hanging="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7365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c72f93"/>
    <w:rPr>
      <w:lang w:val="en-GB"/>
    </w:rPr>
  </w:style>
  <w:style w:type="character" w:styleId="RodapChar" w:customStyle="1">
    <w:name w:val="Rodapé Char"/>
    <w:basedOn w:val="DefaultParagraphFont"/>
    <w:link w:val="Rodap"/>
    <w:uiPriority w:val="99"/>
    <w:qFormat/>
    <w:rsid w:val="00c72f93"/>
    <w:rPr>
      <w:lang w:val="en-GB"/>
    </w:rPr>
  </w:style>
  <w:style w:type="character" w:styleId="CorpodetextoChar" w:customStyle="1">
    <w:name w:val="Corpo de texto Char"/>
    <w:basedOn w:val="DefaultParagraphFont"/>
    <w:link w:val="Corpodetexto"/>
    <w:qFormat/>
    <w:rsid w:val="007d2569"/>
    <w:rPr>
      <w:rFonts w:ascii="Calibri" w:hAnsi="Calibri" w:eastAsia="Calibri" w:cs="Calibri"/>
      <w:color w:val="00000A"/>
      <w:kern w:val="2"/>
      <w:lang w:eastAsia="zh-CN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713a01"/>
    <w:rPr>
      <w:rFonts w:ascii="Times New Roman" w:hAnsi="Times New Roman" w:cs="Times New Roman"/>
      <w:sz w:val="18"/>
      <w:szCs w:val="18"/>
      <w:lang w:val="en-GB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link w:val="CorpodetextoChar"/>
    <w:rsid w:val="007d2569"/>
    <w:pPr>
      <w:suppressAutoHyphens w:val="true"/>
      <w:spacing w:lineRule="auto" w:line="288" w:before="0" w:after="140"/>
    </w:pPr>
    <w:rPr>
      <w:rFonts w:ascii="Calibri" w:hAnsi="Calibri" w:eastAsia="Calibri" w:cs="Calibri"/>
      <w:color w:val="00000A"/>
      <w:kern w:val="2"/>
      <w:lang w:val="pt-BR" w:eastAsia="zh-CN"/>
    </w:rPr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c72f93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c72f93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atabela" w:customStyle="1">
    <w:name w:val="Conteúdo da tabela"/>
    <w:basedOn w:val="Normal"/>
    <w:qFormat/>
    <w:rsid w:val="007d2569"/>
    <w:pPr>
      <w:suppressLineNumbers/>
      <w:suppressAutoHyphens w:val="true"/>
      <w:spacing w:lineRule="auto" w:line="276" w:before="0" w:after="200"/>
    </w:pPr>
    <w:rPr>
      <w:rFonts w:ascii="Calibri" w:hAnsi="Calibri" w:eastAsia="Calibri" w:cs="Calibri"/>
      <w:color w:val="00000A"/>
      <w:kern w:val="2"/>
      <w:lang w:val="pt-BR" w:eastAsia="zh-CN"/>
    </w:rPr>
  </w:style>
  <w:style w:type="paragraph" w:styleId="ListParagraph">
    <w:name w:val="List Paragraph"/>
    <w:basedOn w:val="Normal"/>
    <w:uiPriority w:val="34"/>
    <w:qFormat/>
    <w:rsid w:val="00ee03cf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Caption">
    <w:name w:val="caption"/>
    <w:basedOn w:val="Normal"/>
    <w:next w:val="Normal"/>
    <w:uiPriority w:val="35"/>
    <w:unhideWhenUsed/>
    <w:qFormat/>
    <w:rsid w:val="00f2565c"/>
    <w:pPr>
      <w:spacing w:lineRule="auto" w:line="240" w:before="0"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13a01"/>
    <w:pPr>
      <w:spacing w:lineRule="auto" w:line="240" w:before="0" w:after="0"/>
    </w:pPr>
    <w:rPr>
      <w:rFonts w:ascii="Times New Roman" w:hAnsi="Times New Roman" w:cs="Times New Roman"/>
      <w:sz w:val="18"/>
      <w:szCs w:val="18"/>
    </w:rPr>
  </w:style>
  <w:style w:type="paragraph" w:styleId="Standard" w:customStyle="1">
    <w:name w:val="Standard"/>
    <w:qFormat/>
    <w:rsid w:val="00754a4f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Spranq eco sans" w:hAnsi="Spranq eco sans" w:eastAsia="SimSun" w:cs="Mangal"/>
      <w:color w:val="auto"/>
      <w:kern w:val="2"/>
      <w:sz w:val="24"/>
      <w:szCs w:val="24"/>
      <w:lang w:eastAsia="zh-CN" w:bidi="hi-IN"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c02e5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LibreOffice/6.0.4.2$Windows_X86_64 LibreOffice_project/9b0d9b32d5dcda91d2f1a96dc04c645c450872bf</Application>
  <Pages>6</Pages>
  <Words>919</Words>
  <Characters>5412</Characters>
  <CharactersWithSpaces>6051</CharactersWithSpaces>
  <Paragraphs>156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2018-08-23T12:28:00Z</dcterms:created>
  <dc:creator>PSDB-01</dc:creator>
  <dc:description/>
  <dc:language>pt-BR</dc:language>
  <cp:lastModifiedBy/>
  <cp:lastPrinted>2018-08-23T12:27:00Z</cp:lastPrinted>
  <dcterms:modified xsi:type="dcterms:W3CDTF">2018-08-29T10:44:34Z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