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92D050"/>
        <w:jc w:val="center"/>
        <w:rPr>
          <w:rFonts w:ascii="Arial" w:hAnsi="Arial" w:cs="Arial"/>
          <w:b/>
          <w:b/>
          <w:sz w:val="28"/>
          <w:szCs w:val="28"/>
          <w:lang w:val="pt-BR"/>
        </w:rPr>
      </w:pPr>
      <w:r>
        <w:rPr>
          <w:rFonts w:cs="Arial" w:ascii="Arial" w:hAnsi="Arial"/>
          <w:b/>
          <w:sz w:val="28"/>
          <w:szCs w:val="28"/>
          <w:lang w:val="pt-BR"/>
        </w:rPr>
        <w:t>MATRIZ SWOT - ANÁLISE DO AMBIENTE</w:t>
      </w:r>
      <w:bookmarkStart w:id="0" w:name="_GoBack"/>
      <w:bookmarkEnd w:id="0"/>
    </w:p>
    <w:tbl>
      <w:tblPr>
        <w:tblStyle w:val="Tabelacomgrade"/>
        <w:tblW w:w="154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5"/>
        <w:gridCol w:w="3798"/>
        <w:gridCol w:w="3911"/>
        <w:gridCol w:w="3861"/>
      </w:tblGrid>
      <w:tr>
        <w:trPr/>
        <w:tc>
          <w:tcPr>
            <w:tcW w:w="7673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INTERNO</w:t>
            </w:r>
          </w:p>
        </w:tc>
        <w:tc>
          <w:tcPr>
            <w:tcW w:w="7772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EXTERNO</w:t>
            </w:r>
          </w:p>
        </w:tc>
      </w:tr>
      <w:tr>
        <w:trPr/>
        <w:tc>
          <w:tcPr>
            <w:tcW w:w="3875" w:type="dxa"/>
            <w:tcBorders/>
            <w:shd w:color="auto" w:fill="92D050" w:val="clear"/>
            <w:vAlign w:val="cente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PONTOS FORTES</w:t>
            </w:r>
          </w:p>
        </w:tc>
        <w:tc>
          <w:tcPr>
            <w:tcW w:w="3798" w:type="dxa"/>
            <w:tcBorders/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PONTOS FRACOS</w:t>
            </w:r>
          </w:p>
        </w:tc>
        <w:tc>
          <w:tcPr>
            <w:tcW w:w="3911" w:type="dxa"/>
            <w:tcBorders/>
            <w:shd w:color="auto" w:fill="92D050" w:val="clear"/>
            <w:vAlign w:val="cente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OPORTUNIDADES </w:t>
            </w:r>
          </w:p>
        </w:tc>
        <w:tc>
          <w:tcPr>
            <w:tcW w:w="3861" w:type="dxa"/>
            <w:tcBorders/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  <w:lang w:val="pt-BR"/>
              </w:rPr>
            </w:pPr>
            <w:r>
              <w:rPr>
                <w:rFonts w:cs="Arial" w:ascii="Arial" w:hAnsi="Arial"/>
                <w:b/>
                <w:sz w:val="28"/>
                <w:szCs w:val="28"/>
                <w:lang w:val="pt-BR"/>
              </w:rPr>
              <w:t>AMEAÇAS</w:t>
            </w:r>
          </w:p>
        </w:tc>
      </w:tr>
      <w:tr>
        <w:trPr/>
        <w:tc>
          <w:tcPr>
            <w:tcW w:w="387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Quais os pontos fortes, forças, qualidades, virtudes ou talentos do Ifal?</w:t>
            </w:r>
          </w:p>
        </w:tc>
        <w:tc>
          <w:tcPr>
            <w:tcW w:w="3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Quais os pontos a serem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melhorados,fragilidades, ou dificuldades do Ifal?</w:t>
            </w:r>
          </w:p>
        </w:tc>
        <w:tc>
          <w:tcPr>
            <w:tcW w:w="39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1020" w:leader="none"/>
              </w:tabs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Que situações externas favoráveis existem para aproveitar as potencialidades do Ifal?</w:t>
            </w:r>
          </w:p>
        </w:tc>
        <w:tc>
          <w:tcPr>
            <w:tcW w:w="38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pt-BR"/>
              </w:rPr>
              <w:t>Que situações externas desfavoráveis existem que podem dificultar e/ou impedir de atingir seus objetivos?</w:t>
            </w:r>
          </w:p>
        </w:tc>
      </w:tr>
      <w:tr>
        <w:trPr>
          <w:trHeight w:val="2119" w:hRule="atLeast"/>
        </w:trPr>
        <w:tc>
          <w:tcPr>
            <w:tcW w:w="3875" w:type="dxa"/>
            <w:tcBorders/>
            <w:shd w:color="auto" w:fill="DEEAF6" w:themeFill="accent1" w:themeFillTint="33" w:val="clear"/>
          </w:tcPr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Servidores qualificados.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Políticas de permanência estudantil.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Capilaridade institucional.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Existência de equipe multidisciplinar.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Oferta diversificada do ensino.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Ensino integrado.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Incentivo a qualificação profissional. </w:t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98" w:type="dxa"/>
            <w:tcBorders/>
            <w:shd w:color="auto" w:fill="DEEAF6" w:themeFill="accent1" w:themeFillTint="33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Comunicação Institucional.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Processos operacionais não qualificados.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Ausência de uma política de qualidade de vida do servidor.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Ausência de programas de capacitação aos docentes para receber pessoas com necessidades específicas.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Rotatividade de servidores.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Evasão (Preocupação).</w:t>
            </w:r>
          </w:p>
        </w:tc>
        <w:tc>
          <w:tcPr>
            <w:tcW w:w="3911" w:type="dxa"/>
            <w:tcBorders/>
            <w:shd w:color="auto" w:fill="DEEAF6" w:themeFill="accent1" w:themeFillTint="33" w:val="clear"/>
          </w:tcPr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Novos arranjos produtivos locais.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Possibilidades de parcerias.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Ampliação da oferta de novos serviços.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Surgimento de novas pequenas e médias empresas.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Necessidade de melhoria de qualidade de vida nas comunidades locais.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 xml:space="preserve">Novas tecnologias de informação e comunicação.  </w:t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861" w:type="dxa"/>
            <w:tcBorders/>
            <w:shd w:color="auto" w:fill="DEEAF6" w:themeFill="accent1" w:themeFillTint="33" w:val="clear"/>
          </w:tcPr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Retração do orçamento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Deficiência do transporte público.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Segurança pública.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Reforma do ensino médio.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Outras instituições ofertando os mesmos cursos.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Reforma política.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3875" w:type="dxa"/>
            <w:tcBorders/>
            <w:shd w:color="auto" w:fill="A8D08D" w:themeFill="accent6" w:themeFillTint="99" w:val="clear"/>
          </w:tcPr>
          <w:p>
            <w:pPr>
              <w:pStyle w:val="Standard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Presença do Ifal nas diferentes microrregiões estaduais (interiorização)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Incentivo à capacitação e qualificação das/os servidoras/es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Servidoras/es qualificadas/os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Imagem institucional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Políticas de ensino, pesquisa e extensão</w:t>
            </w:r>
          </w:p>
          <w:p>
            <w:pPr>
              <w:pStyle w:val="Standard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Política de Assistência Estudantil</w:t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98" w:type="dxa"/>
            <w:tcBorders/>
            <w:shd w:color="auto" w:fill="A8D08D" w:themeFill="accent6" w:themeFillTint="99" w:val="clear"/>
          </w:tcPr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Indissociabilidade entre ensino, pesquisa e extensão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Evasão escolar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Retenção Escolar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color w:val="000000"/>
              </w:rPr>
              <w:t>Política de Gestão de Pessoas na área de desenvolvimento humano: relacionamento interpessoal e qualidade de vida e bem-estar das/os servidoras/es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Infraestrutura física e de laboratório dos campi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Política institucional de incentivo às ações e práticas artísticas, desportivas, culturais, linguísticas (idiomas) e competições de conhecimento (olimpíadas)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Comunicação interna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Padronização e fluxo de processos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/>
              <w:t>Pessoalidade na gestão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3911" w:type="dxa"/>
            <w:tcBorders/>
            <w:shd w:color="auto" w:fill="A8D08D" w:themeFill="accent6" w:themeFillTint="99" w:val="clear"/>
          </w:tcPr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Captação de recursos em agências de fomento para pesquisa, extensão e tecnologia</w:t>
            </w:r>
          </w:p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Captação de recursos para infraestrutura por emenda parlamentar</w:t>
            </w:r>
          </w:p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Parceria com o setor produtivo público e privado</w:t>
            </w:r>
          </w:p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Transição do ambiente socioeconômico</w:t>
            </w:r>
          </w:p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Mídia local</w:t>
            </w:r>
          </w:p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Público alvo potencial para nossas ofertas de cursos</w:t>
            </w:r>
          </w:p>
          <w:p>
            <w:pPr>
              <w:pStyle w:val="Standard"/>
              <w:numPr>
                <w:ilvl w:val="0"/>
                <w:numId w:val="4"/>
              </w:numPr>
              <w:spacing w:before="0" w:after="0"/>
              <w:rPr/>
            </w:pPr>
            <w:r>
              <w:rPr/>
              <w:t>Baixo índice de profissionais de nível técnico no mercado</w:t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861" w:type="dxa"/>
            <w:tcBorders/>
            <w:shd w:color="auto" w:fill="A8D08D" w:themeFill="accent6" w:themeFillTint="99" w:val="clear"/>
          </w:tcPr>
          <w:p>
            <w:pPr>
              <w:pStyle w:val="Standard"/>
              <w:numPr>
                <w:ilvl w:val="0"/>
                <w:numId w:val="5"/>
              </w:numPr>
              <w:spacing w:before="0" w:after="0"/>
              <w:rPr/>
            </w:pPr>
            <w:r>
              <w:rPr/>
              <w:t>Corte orçamentário</w:t>
            </w:r>
          </w:p>
          <w:p>
            <w:pPr>
              <w:pStyle w:val="Standard"/>
              <w:numPr>
                <w:ilvl w:val="0"/>
                <w:numId w:val="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Instabilidade das políticas educacionais</w:t>
            </w:r>
          </w:p>
          <w:p>
            <w:pPr>
              <w:pStyle w:val="Standard"/>
              <w:numPr>
                <w:ilvl w:val="0"/>
                <w:numId w:val="5"/>
              </w:numPr>
              <w:spacing w:before="0" w:after="0"/>
              <w:rPr/>
            </w:pPr>
            <w:r>
              <w:rPr/>
              <w:t>Reestruturação dos IFs com diminuição do número de campi e servidoras/es</w:t>
            </w:r>
          </w:p>
          <w:p>
            <w:pPr>
              <w:pStyle w:val="Standard"/>
              <w:numPr>
                <w:ilvl w:val="0"/>
                <w:numId w:val="5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Instabilidade no cenário político nacional</w:t>
            </w:r>
          </w:p>
          <w:p>
            <w:pPr>
              <w:pStyle w:val="Standard"/>
              <w:numPr>
                <w:ilvl w:val="0"/>
                <w:numId w:val="5"/>
              </w:numPr>
              <w:spacing w:before="0" w:after="0"/>
              <w:rPr/>
            </w:pPr>
            <w:r>
              <w:rPr/>
              <w:t>Precarização do serviço público (carência de técnicas/os administrativas/os)</w:t>
            </w:r>
          </w:p>
          <w:p>
            <w:pPr>
              <w:pStyle w:val="Standard"/>
              <w:numPr>
                <w:ilvl w:val="0"/>
                <w:numId w:val="5"/>
              </w:numPr>
              <w:spacing w:before="0" w:after="0"/>
              <w:rPr/>
            </w:pPr>
            <w:r>
              <w:rPr/>
              <w:t>Concorrência com as instituições de ensino</w:t>
            </w:r>
          </w:p>
          <w:p>
            <w:pPr>
              <w:pStyle w:val="Normal"/>
              <w:spacing w:before="0" w:after="0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/>
        <w:tc>
          <w:tcPr>
            <w:tcW w:w="3875" w:type="dxa"/>
            <w:tcBorders/>
            <w:shd w:color="auto" w:fill="FFFF00" w:val="clear"/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Credibilidade da instituição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Servidores qualificados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Abrangência territorial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Ensino - pesquisa – extensão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Interação com a comunidade</w:t>
            </w:r>
          </w:p>
        </w:tc>
        <w:tc>
          <w:tcPr>
            <w:tcW w:w="3798" w:type="dxa"/>
            <w:tcBorders/>
            <w:shd w:color="auto" w:fill="FFFF00" w:val="clear"/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Aperfeiçoamento profissional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Dificuldade da indissociabilidade entre ensino pesquisa e extensão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Dificuldade de diagnóstico das vocações regionais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Ausência de política de comunicação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Ausência de política de ocupação de funções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Lentidão/ burocracia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Atendimento de pessoas com deficiência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Cursos integrados em 4 anos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Dificuldade de integração entre os eixos</w:t>
            </w:r>
          </w:p>
        </w:tc>
        <w:tc>
          <w:tcPr>
            <w:tcW w:w="3911" w:type="dxa"/>
            <w:tcBorders/>
            <w:shd w:color="auto" w:fill="FFFF00" w:val="clear"/>
          </w:tcPr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Mudança de cenários das atividades econômicas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Acesso a participação de eventos nacionais e internacionais (olimpídias, dentre outros)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Parcerias com instituições públicas e privadas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Exploração dos nichos de mercado</w:t>
            </w:r>
          </w:p>
        </w:tc>
        <w:tc>
          <w:tcPr>
            <w:tcW w:w="3861" w:type="dxa"/>
            <w:tcBorders/>
            <w:shd w:color="auto" w:fill="FFFF00" w:val="clear"/>
          </w:tcPr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Ausência de código de vagas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Ausência familiar no processo escolar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Fragmentação do modelo familiar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Ineficiência do sistema público de ensino municipal e estadual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Transporte público ineficiente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Contexto de reformas federais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Indefinição do cenário político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Corte do orçamento</w:t>
            </w:r>
          </w:p>
        </w:tc>
      </w:tr>
      <w:tr>
        <w:trPr/>
        <w:tc>
          <w:tcPr>
            <w:tcW w:w="3875" w:type="dxa"/>
            <w:tcBorders/>
            <w:shd w:color="auto" w:fill="FF0000" w:val="clear"/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Qualidade e gratuidade do ensino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Fortalecimento da trilogia: ensino, pesquisa e extensão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Presença do Ifal em todas as macrorregiões de Alagoas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Diversificação dos cursos de acordo com a região de atuação do Instituto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Servidores qualificados e política de incentivo à qualificação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Infraestrutura</w:t>
            </w:r>
          </w:p>
        </w:tc>
        <w:tc>
          <w:tcPr>
            <w:tcW w:w="3798" w:type="dxa"/>
            <w:tcBorders/>
            <w:shd w:color="auto" w:fill="FF0000" w:val="clear"/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isonomia no tratamento entre os TAE’S e Docentes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padronização dos processos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Burocracia excessiva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Pouca articulação do Ifal como setor produtivo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Falha na comunicação interna (entre setores)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Má gestão de Recursos Humanos – falta de servidores em várias áreas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participação dos servidores nas tomadas de decisão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Estrutura física deficitária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Ausência de políticas de qualidade de vida dos servidores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Deficiência na atuação na comunidade do entorno do Campus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padronização das normativas institucionais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Resistência dos servidores à mudança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integração entre a formação geral e a área técnica dos cursos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acompanhamento dos egressos</w:t>
            </w:r>
          </w:p>
        </w:tc>
        <w:tc>
          <w:tcPr>
            <w:tcW w:w="3911" w:type="dxa"/>
            <w:tcBorders/>
            <w:shd w:color="auto" w:fill="FF0000" w:val="clear"/>
          </w:tcPr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Exigência de profissionais qualificados pelo mercado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Melhoria da situação econômica do estado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Diversificação da economia para criação de novos cursos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Ofertas de políticas sociais para manter os alunos na escola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Possibilidade de parcerias com outras instituições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Empreendedorismo</w:t>
            </w:r>
          </w:p>
        </w:tc>
        <w:tc>
          <w:tcPr>
            <w:tcW w:w="3861" w:type="dxa"/>
            <w:tcBorders/>
            <w:shd w:color="auto" w:fill="FF0000" w:val="clear"/>
          </w:tcPr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Cenário político instável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Dificuldade na mobilidade estudantil intermunicípios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Vulnerabilidade social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Reforma do ensino médio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Congelamento do orçamento</w:t>
            </w:r>
          </w:p>
        </w:tc>
      </w:tr>
      <w:tr>
        <w:trPr/>
        <w:tc>
          <w:tcPr>
            <w:tcW w:w="3875" w:type="dxa"/>
            <w:tcBorders/>
            <w:shd w:color="auto" w:fill="FFC000" w:val="clear"/>
          </w:tcPr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Oportunidade de crescimento profissional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Servidores qualificados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Ensino gratuito de Qualidade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Verticalização do ensino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Capilaridade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Formação integral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Gestão democrática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Investimento e política de pesquisa e extensão nos diversos níveis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Proposta pedagógica sólida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Investimento na política de assistência estudantil</w:t>
            </w:r>
          </w:p>
          <w:p>
            <w:pPr>
              <w:pStyle w:val="Standard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Incentivo a internacionalização</w:t>
            </w:r>
          </w:p>
        </w:tc>
        <w:tc>
          <w:tcPr>
            <w:tcW w:w="3798" w:type="dxa"/>
            <w:tcBorders/>
            <w:shd w:color="auto" w:fill="FFC000" w:val="clear"/>
          </w:tcPr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Estrutura física deficiente em alguns campi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Fragilidade da expansão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Manutenção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Comunicação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Evasão e retenção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Formação continuada dos professores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de equipamentos para pesquisa e extensão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Falta discussão sobre o orçamento participativo</w:t>
            </w:r>
          </w:p>
          <w:p>
            <w:pPr>
              <w:pStyle w:val="Standard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Manutenção de laboratórios – contratações</w:t>
            </w:r>
          </w:p>
          <w:p>
            <w:pPr>
              <w:pStyle w:val="Standard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  <w:tc>
          <w:tcPr>
            <w:tcW w:w="3911" w:type="dxa"/>
            <w:tcBorders/>
            <w:shd w:color="auto" w:fill="FFC000" w:val="clear"/>
          </w:tcPr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Reconhecimento social e mobilidade acadêmica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Parcerias com entes públicos</w:t>
            </w:r>
          </w:p>
          <w:p>
            <w:pPr>
              <w:pStyle w:val="Standard"/>
              <w:numPr>
                <w:ilvl w:val="0"/>
                <w:numId w:val="4"/>
              </w:numPr>
              <w:spacing w:lineRule="auto" w:line="240" w:before="0" w:after="0"/>
              <w:rPr/>
            </w:pPr>
            <w:r>
              <w:rPr/>
              <w:t>Internacionalização</w:t>
            </w:r>
          </w:p>
          <w:p>
            <w:pPr>
              <w:pStyle w:val="Standard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  <w:tc>
          <w:tcPr>
            <w:tcW w:w="3861" w:type="dxa"/>
            <w:tcBorders/>
            <w:shd w:color="auto" w:fill="FFC000" w:val="clear"/>
          </w:tcPr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Cenário político-econômico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 xml:space="preserve">Redução de Recursos 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Transporte escolar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Reforma do ensino médio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>Fragilidades do ensino fundamental</w:t>
            </w:r>
          </w:p>
          <w:p>
            <w:pPr>
              <w:pStyle w:val="Standard"/>
              <w:numPr>
                <w:ilvl w:val="0"/>
                <w:numId w:val="5"/>
              </w:numPr>
              <w:spacing w:lineRule="auto" w:line="240" w:before="0" w:after="0"/>
              <w:rPr/>
            </w:pPr>
            <w:r>
              <w:rPr/>
              <w:t xml:space="preserve">Fatores sócio-econômicos das </w:t>
            </w:r>
          </w:p>
          <w:p>
            <w:pPr>
              <w:pStyle w:val="Standard"/>
              <w:spacing w:lineRule="auto" w:line="240" w:before="0" w:after="0"/>
              <w:ind w:left="720" w:hanging="0"/>
              <w:rPr/>
            </w:pPr>
            <w:r>
              <w:rPr/>
              <w:t>Famílias</w:t>
            </w:r>
          </w:p>
          <w:p>
            <w:pPr>
              <w:pStyle w:val="Standard"/>
              <w:spacing w:lineRule="auto" w:line="240" w:before="0" w:after="0"/>
              <w:ind w:left="72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left" w:pos="1020" w:leader="none"/>
        </w:tabs>
        <w:ind w:left="-567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left" w:pos="6189" w:leader="none"/>
        </w:tabs>
        <w:spacing w:before="0" w:after="160"/>
        <w:rPr/>
      </w:pPr>
      <w:r>
        <w:rPr>
          <w:lang w:val="pt-BR"/>
        </w:rPr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708" w:right="537" w:header="0" w:top="1394" w:footer="21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pranq eco san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3175" distL="0" distR="0">
          <wp:extent cx="7879080" cy="46672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908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center" w:pos="7938" w:leader="none"/>
        <w:tab w:val="right" w:pos="8504" w:leader="none"/>
      </w:tabs>
      <w:ind w:left="284" w:hanging="0"/>
      <w:jc w:val="center"/>
      <w:rPr/>
    </w:pPr>
    <w:r>
      <w:rPr/>
    </w:r>
  </w:p>
  <w:p>
    <w:pPr>
      <w:pStyle w:val="Cabealho"/>
      <w:tabs>
        <w:tab w:val="center" w:pos="4252" w:leader="none"/>
        <w:tab w:val="center" w:pos="7938" w:leader="none"/>
        <w:tab w:val="right" w:pos="8504" w:leader="none"/>
      </w:tabs>
      <w:ind w:left="284" w:hanging="0"/>
      <w:jc w:val="center"/>
      <w:rPr/>
    </w:pPr>
    <w:r>
      <w:rPr/>
    </w:r>
  </w:p>
  <w:p>
    <w:pPr>
      <w:pStyle w:val="Cabealho"/>
      <w:tabs>
        <w:tab w:val="center" w:pos="4252" w:leader="none"/>
        <w:tab w:val="center" w:pos="7938" w:leader="none"/>
        <w:tab w:val="right" w:pos="8504" w:leader="none"/>
      </w:tabs>
      <w:ind w:left="284" w:hanging="0"/>
      <w:jc w:val="center"/>
      <w:rPr/>
    </w:pPr>
    <w:r>
      <w:rPr/>
      <w:drawing>
        <wp:inline distT="0" distB="0" distL="0" distR="0">
          <wp:extent cx="7423150" cy="9144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7449" r="0" b="12995"/>
                  <a:stretch>
                    <a:fillRect/>
                  </a:stretch>
                </pic:blipFill>
                <pic:spPr bwMode="auto">
                  <a:xfrm>
                    <a:off x="0" y="0"/>
                    <a:ext cx="74231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enter" w:pos="4252" w:leader="none"/>
        <w:tab w:val="center" w:pos="7938" w:leader="none"/>
        <w:tab w:val="right" w:pos="8504" w:leader="none"/>
      </w:tabs>
      <w:ind w:left="284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36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72f93"/>
    <w:rPr>
      <w:lang w:val="en-GB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72f93"/>
    <w:rPr>
      <w:lang w:val="en-GB"/>
    </w:rPr>
  </w:style>
  <w:style w:type="character" w:styleId="CorpodetextoChar" w:customStyle="1">
    <w:name w:val="Corpo de texto Char"/>
    <w:basedOn w:val="DefaultParagraphFont"/>
    <w:link w:val="Corpodetexto"/>
    <w:qFormat/>
    <w:rsid w:val="007d2569"/>
    <w:rPr>
      <w:rFonts w:ascii="Calibri" w:hAnsi="Calibri" w:eastAsia="Calibri" w:cs="Calibri"/>
      <w:color w:val="00000A"/>
      <w:kern w:val="2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13a01"/>
    <w:rPr>
      <w:rFonts w:ascii="Times New Roman" w:hAnsi="Times New Roman" w:cs="Times New Roman"/>
      <w:sz w:val="18"/>
      <w:szCs w:val="18"/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7d2569"/>
    <w:pPr>
      <w:suppressAutoHyphens w:val="true"/>
      <w:spacing w:lineRule="auto" w:line="288" w:before="0" w:after="140"/>
    </w:pPr>
    <w:rPr>
      <w:rFonts w:ascii="Calibri" w:hAnsi="Calibri" w:eastAsia="Calibri" w:cs="Calibri"/>
      <w:color w:val="00000A"/>
      <w:kern w:val="2"/>
      <w:lang w:val="pt-BR" w:eastAsia="zh-C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72f9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72f9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7d2569"/>
    <w:pPr>
      <w:suppressLineNumbers/>
      <w:suppressAutoHyphens w:val="true"/>
      <w:spacing w:lineRule="auto" w:line="276" w:before="0" w:after="200"/>
    </w:pPr>
    <w:rPr>
      <w:rFonts w:ascii="Calibri" w:hAnsi="Calibri" w:eastAsia="Calibri" w:cs="Calibri"/>
      <w:color w:val="00000A"/>
      <w:kern w:val="2"/>
      <w:lang w:val="pt-BR" w:eastAsia="zh-CN"/>
    </w:rPr>
  </w:style>
  <w:style w:type="paragraph" w:styleId="ListParagraph">
    <w:name w:val="List Paragraph"/>
    <w:basedOn w:val="Normal"/>
    <w:uiPriority w:val="34"/>
    <w:qFormat/>
    <w:rsid w:val="00ee03c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Caption">
    <w:name w:val="caption"/>
    <w:basedOn w:val="Normal"/>
    <w:next w:val="Normal"/>
    <w:uiPriority w:val="35"/>
    <w:unhideWhenUsed/>
    <w:qFormat/>
    <w:rsid w:val="00f2565c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13a01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Standard" w:customStyle="1">
    <w:name w:val="Standard"/>
    <w:qFormat/>
    <w:rsid w:val="00754a4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Spranq eco sans" w:hAnsi="Spranq eco sans" w:eastAsia="SimSun" w:cs="Mangal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02e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6</Pages>
  <Words>919</Words>
  <Characters>5412</Characters>
  <CharactersWithSpaces>6051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2018-08-23T12:28:00Z</dcterms:created>
  <dc:creator>PSDB-01</dc:creator>
  <dc:description/>
  <dc:language>pt-BR</dc:language>
  <cp:lastModifiedBy/>
  <cp:lastPrinted>2018-08-23T12:27:00Z</cp:lastPrinted>
  <dcterms:modified xsi:type="dcterms:W3CDTF">2018-08-29T10:44:34Z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