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9713" w14:textId="77777777" w:rsidR="002866B8" w:rsidRDefault="007F2DE3">
      <w:pPr>
        <w:spacing w:after="3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14:paraId="31866522" w14:textId="77777777" w:rsidR="002866B8" w:rsidRDefault="007F2DE3">
      <w:pPr>
        <w:spacing w:after="0"/>
        <w:ind w:right="63"/>
        <w:jc w:val="center"/>
      </w:pPr>
      <w:proofErr w:type="spellStart"/>
      <w:r>
        <w:rPr>
          <w:rFonts w:ascii="Malgun Gothic" w:eastAsia="Malgun Gothic" w:hAnsi="Malgun Gothic" w:cs="Malgun Gothic"/>
          <w:b/>
        </w:rPr>
        <w:t>Check-list</w:t>
      </w:r>
      <w:proofErr w:type="spellEnd"/>
      <w:r>
        <w:rPr>
          <w:rFonts w:ascii="Malgun Gothic" w:eastAsia="Malgun Gothic" w:hAnsi="Malgun Gothic" w:cs="Malgun Gothic"/>
          <w:b/>
        </w:rPr>
        <w:t xml:space="preserve">  </w:t>
      </w:r>
    </w:p>
    <w:p w14:paraId="0BE289CB" w14:textId="77777777" w:rsidR="002866B8" w:rsidRDefault="007F2DE3">
      <w:pPr>
        <w:spacing w:after="0"/>
        <w:ind w:left="11"/>
        <w:jc w:val="center"/>
      </w:pPr>
      <w:r>
        <w:rPr>
          <w:rFonts w:ascii="Malgun Gothic" w:eastAsia="Malgun Gothic" w:hAnsi="Malgun Gothic" w:cs="Malgun Gothic"/>
          <w:b/>
        </w:rPr>
        <w:t xml:space="preserve"> </w:t>
      </w:r>
    </w:p>
    <w:p w14:paraId="0CCCEC51" w14:textId="77777777" w:rsidR="002866B8" w:rsidRDefault="007F2DE3">
      <w:pPr>
        <w:spacing w:after="0" w:line="227" w:lineRule="auto"/>
        <w:jc w:val="center"/>
      </w:pPr>
      <w:r>
        <w:rPr>
          <w:rFonts w:ascii="Malgun Gothic" w:eastAsia="Malgun Gothic" w:hAnsi="Malgun Gothic" w:cs="Malgun Gothic"/>
          <w:b/>
          <w:sz w:val="24"/>
        </w:rPr>
        <w:t xml:space="preserve">CONTRATO DE TRANSFERÊNCIA DE TECNOLOGIA NÃO PATENTEADA, NÃO PATENTEÁVEL OU DE </w:t>
      </w:r>
      <w:r>
        <w:rPr>
          <w:rFonts w:ascii="Malgun Gothic" w:eastAsia="Malgun Gothic" w:hAnsi="Malgun Gothic" w:cs="Malgun Gothic"/>
          <w:b/>
          <w:sz w:val="25"/>
        </w:rPr>
        <w:t>KNOW -HOW</w:t>
      </w:r>
      <w:r>
        <w:rPr>
          <w:rFonts w:ascii="Malgun Gothic" w:eastAsia="Malgun Gothic" w:hAnsi="Malgun Gothic" w:cs="Malgun Gothic"/>
          <w:b/>
          <w:sz w:val="24"/>
        </w:rPr>
        <w:t xml:space="preserve">  </w:t>
      </w:r>
    </w:p>
    <w:p w14:paraId="2C92A26A" w14:textId="77777777" w:rsidR="002866B8" w:rsidRDefault="007F2DE3">
      <w:pPr>
        <w:spacing w:after="0"/>
        <w:ind w:right="66"/>
        <w:jc w:val="center"/>
      </w:pPr>
      <w:r>
        <w:rPr>
          <w:rFonts w:ascii="Malgun Gothic" w:eastAsia="Malgun Gothic" w:hAnsi="Malgun Gothic" w:cs="Malgun Gothic"/>
          <w:b/>
          <w:sz w:val="20"/>
        </w:rPr>
        <w:t xml:space="preserve">(ICT e instituição privada ou pública, com ou sem a interveniência de Fundação de Apoio) </w:t>
      </w:r>
    </w:p>
    <w:p w14:paraId="106D7ED3" w14:textId="77777777" w:rsidR="002866B8" w:rsidRDefault="007F2DE3">
      <w:pPr>
        <w:spacing w:after="0"/>
        <w:ind w:left="2"/>
      </w:pPr>
      <w:r>
        <w:rPr>
          <w:rFonts w:ascii="Malgun Gothic" w:eastAsia="Malgun Gothic" w:hAnsi="Malgun Gothic" w:cs="Malgun Gothic"/>
          <w:sz w:val="18"/>
        </w:rPr>
        <w:t xml:space="preserve"> </w:t>
      </w:r>
      <w:r>
        <w:rPr>
          <w:rFonts w:ascii="Malgun Gothic" w:eastAsia="Malgun Gothic" w:hAnsi="Malgun Gothic" w:cs="Malgun Gothic"/>
          <w:sz w:val="18"/>
        </w:rPr>
        <w:tab/>
        <w:t xml:space="preserve"> </w:t>
      </w:r>
    </w:p>
    <w:p w14:paraId="53A70E9C" w14:textId="77777777" w:rsidR="002866B8" w:rsidRDefault="007F2DE3">
      <w:pPr>
        <w:spacing w:after="0"/>
        <w:jc w:val="right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4AE86C16" w14:textId="77777777" w:rsidR="002866B8" w:rsidRDefault="007F2DE3">
      <w:pPr>
        <w:pStyle w:val="Heading1"/>
      </w:pPr>
      <w:r>
        <w:t xml:space="preserve">NUP: _______________________ </w:t>
      </w:r>
    </w:p>
    <w:p w14:paraId="518753AB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4FA1B27E" w14:textId="77777777" w:rsidR="002866B8" w:rsidRDefault="007F2DE3">
      <w:pPr>
        <w:spacing w:after="0" w:line="234" w:lineRule="auto"/>
        <w:ind w:left="-5" w:right="49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Contrato de transferência de tecnologia não patenteada, não patenteável ou de Know-how</w:t>
      </w:r>
      <w:r>
        <w:rPr>
          <w:rFonts w:ascii="Malgun Gothic" w:eastAsia="Malgun Gothic" w:hAnsi="Malgun Gothic" w:cs="Malgun Gothic"/>
          <w:sz w:val="20"/>
        </w:rPr>
        <w:t xml:space="preserve">: Trata-se de uma das espécies de contratos de transferência de tecnologia </w:t>
      </w:r>
      <w:r>
        <w:rPr>
          <w:rFonts w:ascii="Malgun Gothic" w:eastAsia="Malgun Gothic" w:hAnsi="Malgun Gothic" w:cs="Malgun Gothic"/>
          <w:sz w:val="21"/>
        </w:rPr>
        <w:t>stricto sensu</w:t>
      </w:r>
      <w:r>
        <w:rPr>
          <w:rFonts w:ascii="Malgun Gothic" w:eastAsia="Malgun Gothic" w:hAnsi="Malgun Gothic" w:cs="Malgun Gothic"/>
          <w:sz w:val="20"/>
        </w:rPr>
        <w:t xml:space="preserve">. Segundo a doutrina, é o instrumento jurídico que visa a aquisição de conhecimentos tecnológicos não patenteados, ou não patenteáveis, que não envolvem direitos de propriedade industrial e que são comumente conhecidos como </w:t>
      </w:r>
      <w:r>
        <w:rPr>
          <w:rFonts w:ascii="Malgun Gothic" w:eastAsia="Malgun Gothic" w:hAnsi="Malgun Gothic" w:cs="Malgun Gothic"/>
          <w:sz w:val="21"/>
        </w:rPr>
        <w:t>KNOW-HOW</w:t>
      </w:r>
      <w:r>
        <w:rPr>
          <w:rFonts w:ascii="Malgun Gothic" w:eastAsia="Malgun Gothic" w:hAnsi="Malgun Gothic" w:cs="Malgun Gothic"/>
          <w:sz w:val="20"/>
        </w:rPr>
        <w:t xml:space="preserve">.  </w:t>
      </w:r>
    </w:p>
    <w:p w14:paraId="094970C8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61785670" w14:textId="77777777" w:rsidR="002866B8" w:rsidRDefault="007F2DE3">
      <w:pPr>
        <w:spacing w:after="0" w:line="234" w:lineRule="auto"/>
        <w:ind w:left="-5" w:right="49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Base legal</w:t>
      </w:r>
      <w:r>
        <w:rPr>
          <w:rFonts w:ascii="Malgun Gothic" w:eastAsia="Malgun Gothic" w:hAnsi="Malgun Gothic" w:cs="Malgun Gothic"/>
          <w:sz w:val="20"/>
        </w:rPr>
        <w:t xml:space="preserve">: Artigo 6º da Lei nº 10.973/2004 e </w:t>
      </w:r>
      <w:proofErr w:type="spellStart"/>
      <w:r>
        <w:rPr>
          <w:rFonts w:ascii="Malgun Gothic" w:eastAsia="Malgun Gothic" w:hAnsi="Malgun Gothic" w:cs="Malgun Gothic"/>
          <w:sz w:val="20"/>
        </w:rPr>
        <w:t>arts</w:t>
      </w:r>
      <w:proofErr w:type="spellEnd"/>
      <w:r>
        <w:rPr>
          <w:rFonts w:ascii="Malgun Gothic" w:eastAsia="Malgun Gothic" w:hAnsi="Malgun Gothic" w:cs="Malgun Gothic"/>
          <w:sz w:val="20"/>
        </w:rPr>
        <w:t xml:space="preserve">. 11 e 12 do Decreto nº 9.283/18 </w:t>
      </w:r>
    </w:p>
    <w:p w14:paraId="6098DFDA" w14:textId="77777777" w:rsidR="002866B8" w:rsidRDefault="007F2DE3">
      <w:pPr>
        <w:spacing w:after="0"/>
        <w:ind w:right="3"/>
        <w:jc w:val="center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tbl>
      <w:tblPr>
        <w:tblStyle w:val="TableGrid"/>
        <w:tblW w:w="9567" w:type="dxa"/>
        <w:tblInd w:w="-66" w:type="dxa"/>
        <w:tblCellMar>
          <w:top w:w="89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9"/>
        <w:gridCol w:w="1416"/>
      </w:tblGrid>
      <w:tr w:rsidR="002866B8" w14:paraId="40325B98" w14:textId="77777777">
        <w:trPr>
          <w:trHeight w:val="3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DE0" w14:textId="77777777" w:rsidR="002866B8" w:rsidRDefault="007F2DE3">
            <w:pPr>
              <w:ind w:left="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Nº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8DA" w14:textId="77777777" w:rsidR="002866B8" w:rsidRDefault="007F2DE3">
            <w:pPr>
              <w:ind w:right="75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Documentação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469" w14:textId="77777777" w:rsidR="002866B8" w:rsidRDefault="007F2DE3">
            <w:pPr>
              <w:ind w:right="69"/>
              <w:jc w:val="center"/>
            </w:pPr>
            <w:r>
              <w:rPr>
                <w:rFonts w:ascii="Malgun Gothic" w:eastAsia="Malgun Gothic" w:hAnsi="Malgun Gothic" w:cs="Malgun Gothic"/>
                <w:b/>
                <w:sz w:val="18"/>
              </w:rPr>
              <w:t>OBS</w:t>
            </w: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2A89D0F" w14:textId="77777777">
        <w:trPr>
          <w:trHeight w:val="1044"/>
        </w:trPr>
        <w:tc>
          <w:tcPr>
            <w:tcW w:w="8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6F09BFA" w14:textId="77777777" w:rsidR="002866B8" w:rsidRDefault="007F2DE3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379CA3C8" w14:textId="77777777" w:rsidR="002866B8" w:rsidRDefault="007F2DE3">
            <w:pPr>
              <w:ind w:left="2154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PROVIDENCIADOS PELA ICT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0F4400F5" w14:textId="77777777" w:rsidR="002866B8" w:rsidRDefault="007F2DE3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E56D8D" w14:textId="77777777" w:rsidR="002866B8" w:rsidRDefault="002866B8"/>
        </w:tc>
      </w:tr>
      <w:tr w:rsidR="002866B8" w14:paraId="485F0C56" w14:textId="77777777">
        <w:trPr>
          <w:trHeight w:val="1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BF8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4051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Abertura do processo administrativo devidamente autuado, protocolado e numerado (Lei nº 9.784/1999, art. 22, § 4º c/c art. 38, </w:t>
            </w:r>
            <w:r>
              <w:rPr>
                <w:rFonts w:ascii="Malgun Gothic" w:eastAsia="Malgun Gothic" w:hAnsi="Malgun Gothic" w:cs="Malgun Gothic"/>
                <w:sz w:val="21"/>
              </w:rPr>
              <w:t>caput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, da Lei 8.666/93) (informar caso se trate de processo remetido via sistema eletrônico de informações – SEI)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4F3F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2EBE3E9" w14:textId="77777777">
        <w:trPr>
          <w:trHeight w:val="10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12D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E56" w14:textId="77777777" w:rsidR="002866B8" w:rsidRDefault="007F2DE3">
            <w:pPr>
              <w:spacing w:after="1"/>
              <w:ind w:left="2" w:hanging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com demonstração do interesse público (art. 50, Lei nº 9.784/1999) </w:t>
            </w:r>
          </w:p>
          <w:p w14:paraId="2E3D6B8E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261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8D236A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C9D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8B00" w14:textId="77777777" w:rsidR="002866B8" w:rsidRDefault="007F2DE3">
            <w:pPr>
              <w:spacing w:line="241" w:lineRule="auto"/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Aprovação da contratação pela autoridade máxima da ICT (verificar a necessidade de solicitar a juntada de norma interna da ICT que disponha sobre delegação de competência para a prática deste ato) </w:t>
            </w:r>
          </w:p>
          <w:p w14:paraId="6E8A7948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A9C7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D42CA75" w14:textId="77777777">
        <w:trPr>
          <w:trHeight w:val="1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7777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07E4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parecer técnico do Núcleo de Inovação Tecnológica – NIT (art. 16, §1º, </w:t>
            </w:r>
          </w:p>
          <w:p w14:paraId="3E1392D1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VIII, IX, e X, da Lei nº 10.973/2004) </w:t>
            </w:r>
          </w:p>
          <w:p w14:paraId="0FF41F5D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88C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3F31A35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BCE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8463" w14:textId="77777777" w:rsidR="002866B8" w:rsidRDefault="007F2DE3">
            <w:pPr>
              <w:ind w:left="2" w:right="69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contemplando a situação de dispensa prevista no art. 24, inciso XXV, da Lei nº 8.666/93, evidenciando os elementos necessários à sua configuração, naquilo que couber, conforme art. 26, </w:t>
            </w:r>
            <w:r>
              <w:rPr>
                <w:rFonts w:ascii="Malgun Gothic" w:eastAsia="Malgun Gothic" w:hAnsi="Malgun Gothic" w:cs="Malgun Gothic"/>
                <w:sz w:val="21"/>
              </w:rPr>
              <w:t>caput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, e parágrafo único da Lei nº 8.666/93.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66F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763D6F76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1A7A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06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8F23" w14:textId="77777777" w:rsidR="002866B8" w:rsidRDefault="007F2DE3">
            <w:pPr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Comunicação à autoridade superior, no prazo de 3 (três) dias, do ato que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233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2DEA0AB0" w14:textId="77777777" w:rsidR="002866B8" w:rsidRDefault="002866B8">
      <w:pPr>
        <w:spacing w:after="0"/>
        <w:ind w:left="-1416" w:right="10839"/>
      </w:pPr>
    </w:p>
    <w:tbl>
      <w:tblPr>
        <w:tblStyle w:val="TableGrid"/>
        <w:tblW w:w="9567" w:type="dxa"/>
        <w:tblInd w:w="-66" w:type="dxa"/>
        <w:tblCellMar>
          <w:top w:w="86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8"/>
        <w:gridCol w:w="1417"/>
      </w:tblGrid>
      <w:tr w:rsidR="002866B8" w14:paraId="3F4E9D3C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F7E" w14:textId="77777777" w:rsidR="002866B8" w:rsidRDefault="002866B8"/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82D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autorizou a dispensa, para fins de ratificação e publicação na imprensa oficial, no prazo de 5(cinco) dias.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310C" w14:textId="77777777" w:rsidR="002866B8" w:rsidRDefault="002866B8"/>
        </w:tc>
      </w:tr>
      <w:tr w:rsidR="002866B8" w14:paraId="4E0DCEE0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D4A6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395" w14:textId="77777777" w:rsidR="002866B8" w:rsidRDefault="007F2DE3">
            <w:pPr>
              <w:spacing w:line="242" w:lineRule="auto"/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Caso a contratação preveja cláusula de exclusividade, informar se houve a publicação prévia de extrato de oferta tecnológica em sítio eletrônico oficial da </w:t>
            </w:r>
          </w:p>
          <w:p w14:paraId="6DFA1559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ICT e se foram atendidos os §§ 1º, 4º, 6º, 7º e 8º do art. 12 do Decreto nº </w:t>
            </w:r>
          </w:p>
          <w:p w14:paraId="2E11D658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9.283/18.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DB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490B79A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4F9B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93D3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Plano de Trabalho, no que couber (art. 116, §1º, Lei nº 8.666/1993).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711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6974AE1E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50BC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234" w14:textId="77777777" w:rsidR="002866B8" w:rsidRDefault="007F2DE3">
            <w:pPr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aprovação da minuta de contrato pela Procuradoria Federal junto à </w:t>
            </w:r>
          </w:p>
          <w:p w14:paraId="060F70CB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Entidade (art. 38, parágrafo único, Lei 8.666/1993) </w:t>
            </w:r>
          </w:p>
          <w:p w14:paraId="1966BE71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AC5A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1B07237" w14:textId="77777777">
        <w:trPr>
          <w:trHeight w:val="7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24B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F894" w14:textId="77777777" w:rsidR="002866B8" w:rsidRDefault="007F2DE3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>Previsão, se for o caso, de recursos orçamentários, com indicação das respectivas rubricas (</w:t>
            </w:r>
            <w:proofErr w:type="spellStart"/>
            <w:r>
              <w:rPr>
                <w:rFonts w:ascii="Malgun Gothic" w:eastAsia="Malgun Gothic" w:hAnsi="Malgun Gothic" w:cs="Malgun Gothic"/>
                <w:sz w:val="20"/>
              </w:rPr>
              <w:t>arts</w:t>
            </w:r>
            <w:proofErr w:type="spellEnd"/>
            <w:r>
              <w:rPr>
                <w:rFonts w:ascii="Malgun Gothic" w:eastAsia="Malgun Gothic" w:hAnsi="Malgun Gothic" w:cs="Malgun Gothic"/>
                <w:sz w:val="20"/>
              </w:rPr>
              <w:t xml:space="preserve">. 7º, § 2º, III, 14 e 38, </w:t>
            </w:r>
            <w:r>
              <w:rPr>
                <w:rFonts w:ascii="Malgun Gothic" w:eastAsia="Malgun Gothic" w:hAnsi="Malgun Gothic" w:cs="Malgun Gothic"/>
                <w:sz w:val="21"/>
              </w:rPr>
              <w:t xml:space="preserve">caput, 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da Lei nº 8.666/93)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1DBB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A6B82D7" w14:textId="77777777">
        <w:trPr>
          <w:trHeight w:val="1010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A754F" w14:textId="77777777" w:rsidR="002866B8" w:rsidRDefault="007F2DE3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7131C8F" w14:textId="77777777" w:rsidR="002866B8" w:rsidRDefault="007F2DE3">
            <w:pPr>
              <w:ind w:right="74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OBTIDOS JUNTO À EMPRESA OU ICT PRIVADA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33B7104" w14:textId="77777777" w:rsidR="002866B8" w:rsidRDefault="007F2DE3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60A7B141" w14:textId="77777777">
        <w:trPr>
          <w:trHeight w:val="10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4A85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70C" w14:textId="77777777" w:rsidR="002866B8" w:rsidRDefault="007F2DE3">
            <w:pPr>
              <w:spacing w:line="242" w:lineRule="auto"/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requisitos de habilitação jurídica (art. 28, Lei nº 8.666/1993) – Inclusive para conferência dos poderes do representante da empresa contratante.  </w:t>
            </w:r>
          </w:p>
          <w:p w14:paraId="4874FBF5" w14:textId="77777777" w:rsidR="002866B8" w:rsidRDefault="007F2DE3">
            <w:r>
              <w:rPr>
                <w:rFonts w:ascii="Malgun Gothic" w:eastAsia="Malgun Gothic" w:hAnsi="Malgun Gothic" w:cs="Malgun Gothic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D379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A72A976" w14:textId="77777777">
        <w:trPr>
          <w:trHeight w:val="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4D3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FF2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regularidade fiscal (art. 12, § 5º, I, do Decreto nº 9.283/18)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0B7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3CF4571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CCE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BFA" w14:textId="77777777" w:rsidR="002866B8" w:rsidRDefault="007F2DE3">
            <w:pPr>
              <w:ind w:right="7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Ato constitutivo da empresa ou ICT privada (estatuto ou contrato social em vigor) (art. 28, inciso III, da Lei nº 8.666/1993); ou equivalente, se empresa estrangeira.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A73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A7B624" w14:textId="77777777">
        <w:trPr>
          <w:trHeight w:val="17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DD2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F1A" w14:textId="77777777" w:rsidR="002866B8" w:rsidRDefault="007F2DE3">
            <w:pPr>
              <w:ind w:left="2" w:right="70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relativa ao responsável legal da empresa ou ICT privada - pessoa que irá assinar o Termo (RG, CPF e Comprovante de Residência + Ata de Nomeação, Termo de Posse ou documentos correlatos, no caso de entidade estrangeira). </w:t>
            </w:r>
          </w:p>
          <w:p w14:paraId="78C1FBCD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2FD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3B47F2C" w14:textId="77777777">
        <w:trPr>
          <w:trHeight w:val="10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1EF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0C61" w14:textId="77777777" w:rsidR="002866B8" w:rsidRDefault="007F2DE3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inscrição no Cadastro Nacional da Pessoa Jurídica – CNPJ, se empresa nacional. </w:t>
            </w:r>
          </w:p>
          <w:p w14:paraId="53D4B722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1A6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ADD6C33" w14:textId="77777777">
        <w:trPr>
          <w:trHeight w:val="1356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7F617F" w14:textId="77777777" w:rsidR="002866B8" w:rsidRDefault="007F2DE3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37CC2CEA" w14:textId="77777777" w:rsidR="002866B8" w:rsidRDefault="007F2DE3">
            <w:pPr>
              <w:ind w:left="49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DOCUMENTOS A SEREM OBTIDOS JUNTO À FUNDAÇÃO DE APOIO ( se houver interveniência da </w:t>
            </w:r>
          </w:p>
          <w:p w14:paraId="2EE3D670" w14:textId="77777777" w:rsidR="002866B8" w:rsidRDefault="007F2DE3">
            <w:pPr>
              <w:ind w:right="68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FA)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75A660D3" w14:textId="77777777" w:rsidR="002866B8" w:rsidRDefault="007F2DE3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9ED3E92" w14:textId="77777777">
        <w:trPr>
          <w:trHeight w:val="20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A995" w14:textId="77777777" w:rsidR="002866B8" w:rsidRDefault="007F2DE3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16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6CB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Ato de constituição/ habilitação jurídica (art. 28, Lei nº 8.666/1993)  </w:t>
            </w:r>
          </w:p>
          <w:p w14:paraId="116F9F53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023FE1C3" w14:textId="77777777" w:rsidR="002866B8" w:rsidRDefault="007F2DE3">
            <w:pPr>
              <w:ind w:left="2" w:right="73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>Estatuto social da Fundação de Apoio, comprovando finalidade não lucrativa e de ser incumbida, regimental ou estatutariamente, da pesquisa, do ensino ou do desenvolvimento institucional, científico e tecnológico.</w:t>
            </w:r>
            <w:r>
              <w:rPr>
                <w:rFonts w:ascii="Malgun Gothic" w:eastAsia="Malgun Gothic" w:hAnsi="Malgun Gothic" w:cs="Malgun Gothic"/>
                <w:color w:val="FF0000"/>
                <w:sz w:val="20"/>
              </w:rPr>
              <w:t xml:space="preserve"> </w:t>
            </w:r>
          </w:p>
          <w:p w14:paraId="67C4A890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9B64" w14:textId="77777777" w:rsidR="002866B8" w:rsidRDefault="007F2DE3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201939D6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89A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34F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do responsável legal da FUNDAÇÃO DE APOIO – pessoa que irá assinar o instrumento contratual (RG, CPF e Comprovante de Residência + Ata de Nomeação, Termo de Posse ou documento correlato). </w:t>
            </w:r>
          </w:p>
          <w:p w14:paraId="7DE495F5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64C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BE328AD" w14:textId="77777777">
        <w:trPr>
          <w:trHeight w:val="13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39F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C2C" w14:textId="77777777" w:rsidR="002866B8" w:rsidRDefault="007F2DE3">
            <w:pPr>
              <w:ind w:left="2" w:right="69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Registro e credenciamento junto ao MEC/MCTI ou autorização para apoiar (art. 4º, §2º, Decreto nº 7.423/2010, art. 4º, I, Portaria Interministerial MEC/MCTI nº 191, de 13 de março de 2012 e art. 2º, III, Lei nº 8.958/1994). </w:t>
            </w:r>
          </w:p>
          <w:p w14:paraId="4DA213C7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A82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5B47AE4A" w14:textId="77777777">
        <w:trPr>
          <w:trHeight w:val="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3A74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A87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(caso exista mais que uma Fundação de apoio)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9696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048290AF" w14:textId="77777777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36C1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7D33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Declaração de reputação ético-profissional (art. 24, XIII, Lei nº 8.666/93) e de capacidade técnica-financeira para bem executar o objeto contratado.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0DBA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1A4FD67F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392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225" w14:textId="77777777" w:rsidR="002866B8" w:rsidRDefault="007F2DE3">
            <w:r>
              <w:rPr>
                <w:rFonts w:ascii="Malgun Gothic" w:eastAsia="Malgun Gothic" w:hAnsi="Malgun Gothic" w:cs="Malgun Gothic"/>
                <w:sz w:val="20"/>
              </w:rPr>
              <w:t xml:space="preserve">Comprovação da regularidade fiscal e trabalhista (art. 29, Lei nº 8.666/1993).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1192" w14:textId="77777777" w:rsidR="002866B8" w:rsidRDefault="007F2DE3"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44B8F6C8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926B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C2E6" w14:textId="77777777" w:rsidR="002866B8" w:rsidRDefault="007F2DE3">
            <w:pPr>
              <w:ind w:left="2" w:right="73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Proposta da Fundação de Apoio, demonstrando os serviços de apoio a serem contratados, contendo, inclusive, a planilha demonstrativa dos seus custos operacionais incorridos na execução de suas atividades.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BF3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31468009" w14:textId="77777777">
        <w:trPr>
          <w:trHeight w:val="1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A17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941" w14:textId="77777777" w:rsidR="002866B8" w:rsidRDefault="007F2DE3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Plano de Trabalho, contemplando os requisitos mínimos previstos no § 1º do art. 6º do Decreto nº 7.423/10, bem ainda os §§ 2º a 13 do referido dispositivo, no que couber.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599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2866B8" w14:paraId="321B265A" w14:textId="77777777">
        <w:trPr>
          <w:trHeight w:val="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E9C" w14:textId="77777777" w:rsidR="002866B8" w:rsidRDefault="007F2DE3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29A" w14:textId="77777777" w:rsidR="002866B8" w:rsidRDefault="007F2DE3">
            <w:pPr>
              <w:ind w:left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Consulta aos sistemas de penalidades – CEIS, CNJ e TCU e consulta ao CADIN (art. </w:t>
            </w:r>
          </w:p>
          <w:p w14:paraId="6F7A0891" w14:textId="77777777" w:rsidR="002866B8" w:rsidRDefault="007F2DE3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6º, Lei nº 10.522/2002).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8EB9" w14:textId="77777777" w:rsidR="002866B8" w:rsidRDefault="007F2DE3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569B07B0" w14:textId="77777777" w:rsidR="002866B8" w:rsidRDefault="007F2DE3">
      <w:pPr>
        <w:spacing w:after="137"/>
      </w:pPr>
      <w:r>
        <w:rPr>
          <w:rFonts w:ascii="Malgun Gothic" w:eastAsia="Malgun Gothic" w:hAnsi="Malgun Gothic" w:cs="Malgun Gothic"/>
          <w:sz w:val="8"/>
        </w:rPr>
        <w:t xml:space="preserve"> </w:t>
      </w:r>
    </w:p>
    <w:p w14:paraId="1482BF3C" w14:textId="77777777" w:rsidR="002866B8" w:rsidRDefault="007F2DE3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76EF2188" w14:textId="77777777" w:rsidR="002866B8" w:rsidRDefault="007F2DE3">
      <w:pPr>
        <w:spacing w:after="3" w:line="244" w:lineRule="auto"/>
        <w:ind w:left="-3" w:right="49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1) CABE ÀS DIRETORIAS, NITs E/OU ÁREAS TÉCNICAS OBSERVAR SE, ALÉM DOS DOCUMENTOS ORA ARROLADOS, OUTROS SERÃO NECESSÁRIOS PARA COMPLEMENTAR A INSTRUÇÃO PROCESSUAL.  (Esses documentos dependerão de cada caso concreto e da regulamentação interna da Instituição, especialmente da respectiva Política de Inovação).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E65C36" w14:textId="77777777" w:rsidR="002866B8" w:rsidRDefault="007F2DE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66C5C8E" w14:textId="77777777" w:rsidR="002866B8" w:rsidRDefault="007F2DE3">
      <w:pPr>
        <w:spacing w:after="3" w:line="244" w:lineRule="auto"/>
        <w:ind w:left="-3" w:right="49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2) A AUSÊNCIA DE QUALQUER DOS DOCUMENTOS LISTADOS NO </w:t>
      </w:r>
      <w:r>
        <w:rPr>
          <w:rFonts w:ascii="Times New Roman" w:eastAsia="Times New Roman" w:hAnsi="Times New Roman" w:cs="Times New Roman"/>
          <w:b/>
          <w:i/>
          <w:sz w:val="18"/>
        </w:rPr>
        <w:t>CHECK LIST</w:t>
      </w:r>
      <w:r>
        <w:rPr>
          <w:rFonts w:ascii="Times New Roman" w:eastAsia="Times New Roman" w:hAnsi="Times New Roman" w:cs="Times New Roman"/>
          <w:b/>
          <w:sz w:val="18"/>
        </w:rPr>
        <w:t xml:space="preserve"> DEVERÁ SER JUSTIFICADA PELA AUTORIDADE COMPETENTE.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2866B8">
      <w:headerReference w:type="even" r:id="rId7"/>
      <w:headerReference w:type="default" r:id="rId8"/>
      <w:headerReference w:type="first" r:id="rId9"/>
      <w:pgSz w:w="11906" w:h="16841"/>
      <w:pgMar w:top="1985" w:right="1067" w:bottom="958" w:left="1416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FA79" w14:textId="77777777" w:rsidR="007F2DE3" w:rsidRDefault="007F2DE3">
      <w:pPr>
        <w:spacing w:after="0" w:line="240" w:lineRule="auto"/>
      </w:pPr>
      <w:r>
        <w:separator/>
      </w:r>
    </w:p>
  </w:endnote>
  <w:endnote w:type="continuationSeparator" w:id="0">
    <w:p w14:paraId="1F743800" w14:textId="77777777" w:rsidR="007F2DE3" w:rsidRDefault="007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5F71B" w14:textId="77777777" w:rsidR="007F2DE3" w:rsidRDefault="007F2DE3">
      <w:pPr>
        <w:spacing w:after="0" w:line="240" w:lineRule="auto"/>
      </w:pPr>
      <w:r>
        <w:separator/>
      </w:r>
    </w:p>
  </w:footnote>
  <w:footnote w:type="continuationSeparator" w:id="0">
    <w:p w14:paraId="5631F1FE" w14:textId="77777777" w:rsidR="007F2DE3" w:rsidRDefault="007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49CD6" w14:textId="77777777" w:rsidR="002866B8" w:rsidRDefault="007F2DE3">
    <w:pPr>
      <w:spacing w:after="396"/>
      <w:ind w:right="4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39D81E2D" wp14:editId="330A895A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9E19E8D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6F8C54C5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BC85" w14:textId="77777777" w:rsidR="002866B8" w:rsidRDefault="007F2DE3">
    <w:pPr>
      <w:spacing w:after="396"/>
      <w:ind w:right="4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364415D7" wp14:editId="6D06B245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11FF79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7482B7E5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8687F" w14:textId="77777777" w:rsidR="002866B8" w:rsidRDefault="007F2DE3">
    <w:pPr>
      <w:spacing w:after="396"/>
      <w:ind w:right="4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34F1E0C0" wp14:editId="3E47FDF1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BCD8961" w14:textId="77777777" w:rsidR="002866B8" w:rsidRDefault="007F2DE3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471C45C0" w14:textId="77777777" w:rsidR="002866B8" w:rsidRDefault="007F2DE3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B8"/>
    <w:rsid w:val="002866B8"/>
    <w:rsid w:val="005B7858"/>
    <w:rsid w:val="007F2DE3"/>
    <w:rsid w:val="00B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A9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Malgun Gothic" w:eastAsia="Malgun Gothic" w:hAnsi="Malgun Gothic" w:cs="Malgun Gothic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lgun Gothic" w:eastAsia="Malgun Gothic" w:hAnsi="Malgun Gothic" w:cs="Malgun Gothic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Malgun Gothic" w:eastAsia="Malgun Gothic" w:hAnsi="Malgun Gothic" w:cs="Malgun Gothic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algun Gothic" w:eastAsia="Malgun Gothic" w:hAnsi="Malgun Gothic" w:cs="Malgun Gothic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Macintosh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anale</dc:creator>
  <cp:keywords/>
  <cp:lastModifiedBy>CNPq CNPq</cp:lastModifiedBy>
  <cp:revision>2</cp:revision>
  <dcterms:created xsi:type="dcterms:W3CDTF">2020-09-21T20:57:00Z</dcterms:created>
  <dcterms:modified xsi:type="dcterms:W3CDTF">2020-09-21T20:57:00Z</dcterms:modified>
</cp:coreProperties>
</file>