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110"/>
          <w:tab w:val="left" w:leader="none" w:pos="8620"/>
        </w:tabs>
        <w:spacing w:line="240" w:lineRule="auto"/>
        <w:ind w:left="59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03330" cy="66198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330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713165" cy="7131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65" cy="713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09675" cy="62865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696" w:firstLine="850.39370078740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826.7716535433065" w:right="696" w:firstLine="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ANEXO III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639"/>
        </w:tabs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PARECER DA GESTÃO DE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(Resolução nº 39/CS de 2/12/2019)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PARECER DA GESTÃO DE PESSOAS (preenchimento exclusivo das CGPs/DGP)</w:t>
      </w:r>
    </w:p>
    <w:tbl>
      <w:tblPr>
        <w:tblStyle w:val="Table1"/>
        <w:tblW w:w="10215.0" w:type="dxa"/>
        <w:jc w:val="left"/>
        <w:tblInd w:w="-375.0" w:type="dxa"/>
        <w:tblLayout w:type="fixed"/>
        <w:tblLook w:val="04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rHeight w:val="5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50.0" w:type="dxa"/>
              <w:jc w:val="left"/>
              <w:tblLayout w:type="fixed"/>
              <w:tblLook w:val="0400"/>
            </w:tblPr>
            <w:tblGrid>
              <w:gridCol w:w="3990"/>
              <w:gridCol w:w="810"/>
              <w:gridCol w:w="255"/>
              <w:gridCol w:w="3840"/>
              <w:gridCol w:w="1155"/>
              <w:tblGridChange w:id="0">
                <w:tblGrid>
                  <w:gridCol w:w="3990"/>
                  <w:gridCol w:w="810"/>
                  <w:gridCol w:w="255"/>
                  <w:gridCol w:w="3840"/>
                  <w:gridCol w:w="1155"/>
                </w:tblGrid>
              </w:tblGridChange>
            </w:tblGrid>
            <w:tr>
              <w:trPr>
                <w:cantSplit w:val="0"/>
                <w:trHeight w:val="944.179687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9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a) Quantidade de docentes no Campus (se docente)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A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0cece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B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C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Quantidade de docentes afastadas/os (se docente)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D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E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a-1) Quantidade de no Campus de TAEs (se TAE)</w:t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0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0cece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1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2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Quantidade TAEs afastadas/os (se TAE)</w:t>
                  </w:r>
                </w:p>
              </w:tc>
              <w:tc>
                <w:tcPr>
                  <w:tcBorders>
                    <w:top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3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360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247" w:hRule="atLeast"/>
                <w:tblHeader w:val="0"/>
              </w:trPr>
              <w:tc>
                <w:tcPr>
                  <w:gridSpan w:val="5"/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4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Liberation Serif" w:cs="Liberation Serif" w:eastAsia="Liberation Serif" w:hAnsi="Liberation Seri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b) A/O servidora/or se afastou por licença para tratar de assuntos particulares ou para gozo de licença capacitação ou com fundamento no artigo 96-A da Lei nº 8.112/90 nos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u w:val="single"/>
                      <w:rtl w:val="0"/>
                    </w:rPr>
                    <w:t xml:space="preserve">2 (dois) anos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anteriores à data da solicitação de afastamento? (apenas para Mestrado e Doutorado)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SIM        </w:t>
                    <w:tab/>
                    <w:t xml:space="preserve">(    ) NÃO</w:t>
                  </w:r>
                </w:p>
              </w:tc>
            </w:tr>
            <w:tr>
              <w:trPr>
                <w:cantSplit w:val="0"/>
                <w:trHeight w:val="1247" w:hRule="atLeast"/>
                <w:tblHeader w:val="0"/>
              </w:trPr>
              <w:tc>
                <w:tcPr>
                  <w:gridSpan w:val="5"/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A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Liberation Serif" w:cs="Liberation Serif" w:eastAsia="Liberation Serif" w:hAnsi="Liberation Serif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c) A/O servidora/or se afastou por licença para tratar de assuntos particulares ou com fundamento no art. 96-A, nos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u w:val="single"/>
                      <w:rtl w:val="0"/>
                    </w:rPr>
                    <w:t xml:space="preserve">4 (quatro) anos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 anteriores à data da solicitação de afastamento? (Apenas para Pós-Doutorado)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SIM           </w:t>
                    <w:tab/>
                    <w:t xml:space="preserve">(    ) NÃO</w:t>
                  </w:r>
                </w:p>
              </w:tc>
            </w:tr>
            <w:tr>
              <w:trPr>
                <w:cantSplit w:val="0"/>
                <w:trHeight w:val="640" w:hRule="atLeast"/>
                <w:tblHeader w:val="0"/>
              </w:trPr>
              <w:tc>
                <w:tcPr>
                  <w:gridSpan w:val="5"/>
                  <w:tcBorders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d) À CCAP, para informar, em se tratando de afastamento condicionado à contratação de substituto:</w:t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Há disponibilidade no banco de equivalência.                            (    ) Não há disponibilidade no banco de equivalência.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tabs>
                      <w:tab w:val="left" w:leader="none" w:pos="6426"/>
                      <w:tab w:val="left" w:leader="none" w:pos="7390"/>
                      <w:tab w:val="left" w:leader="none" w:pos="9096"/>
                      <w:tab w:val="left" w:leader="none" w:pos="9837"/>
                    </w:tabs>
                    <w:spacing w:after="120" w:before="120" w:line="276" w:lineRule="auto"/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    ) Há concurso em validade para área do requerente.                  (    ) Não há concurso em validade para área do requerente.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tabs>
        <w:tab w:val="left" w:leader="none" w:pos="4110"/>
        <w:tab w:val="left" w:leader="none" w:pos="8620"/>
      </w:tabs>
      <w:spacing w:line="240" w:lineRule="auto"/>
      <w:ind w:left="597" w:firstLine="0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  <w:rtl w:val="0"/>
      </w:rPr>
      <w:t xml:space="preserve">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