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TERMO DE ACEITAÇÃO E COMPROMISSO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ind w:left="720" w:hanging="36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Curso:                                                             Matrícula: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Identidade:                                                     CPF: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Endereço: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Cidade:                                              Estado:                     País: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Código postal:                                         Telefones: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Dados da mobilidade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IES de destino: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País: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/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Curso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Dados bancários (obs.: a conta bancária deve ser do próprio estudante e não pode ser poupança).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Banco, conta corrente e agência: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País: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firstLine="0"/>
        <w:jc w:val="both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Curso:  </w:t>
      </w:r>
    </w:p>
    <w:p w:rsidR="00000000" w:rsidDel="00000000" w:rsidP="00000000" w:rsidRDefault="00000000" w:rsidRPr="00000000" w14:paraId="00000015">
      <w:pPr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 xml:space="preserve">Declaro que aceito participar do Programa de Mobilidade Acadêmica e nessa qualidade me comprometo a: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Dedicar-me integralmente às atividades previstas no plano de estudos e comprovar desempenho acadêmico satisfatório, conforme as normas da Instituição de Ensino Superior (doravante IES) estrangeira;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Comparecer, ao iniciar o período de mobilidade, ao escritório de relações internacionais da IES estrangeira, para solicitar a assinatura da declaração de permanência (CHEGADA) e enviá-la para o e-mail </w:t>
      </w:r>
      <w:hyperlink r:id="rId6">
        <w:r w:rsidDel="00000000" w:rsidR="00000000" w:rsidRPr="00000000">
          <w:rPr>
            <w:rFonts w:ascii="Bell MT" w:cs="Bell MT" w:eastAsia="Bell MT" w:hAnsi="Bell MT"/>
            <w:color w:val="0563c1"/>
            <w:sz w:val="24"/>
            <w:szCs w:val="24"/>
            <w:u w:val="single"/>
            <w:rtl w:val="0"/>
          </w:rPr>
          <w:t xml:space="preserve">relações.internacionais@ifal.edu.br</w:t>
        </w:r>
      </w:hyperlink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Comparecer, ao final do período de mobilidade, ao escritório de relações internacionais da IES estrangeira, para solicitar nova assinatura da declaração de permanência (PARTIDA), registrando o término do período de mobilidade;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O estudante deverá preencher os relatórios de avaliação de mobilidade acadêmica em duas etapas, a saber: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O relatório parcial será enviado para o e-mail da Coordenação de Curso de origem;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O relatório final será entregue pessoalmente pelo estudante à Coordenação de Curso de origem, ao retornar da mobilidade.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Retornar ao Brasil no prazo de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30 dias a contar da conclusão do período de mobilidade acadêmica, para concluir o seu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Apresentar à Coordenação de Curso de origem toda documentação necessária para requerer a validação de seus estudos no exterior;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Fazer referência ao Ifal nas publicações e trabalhos apresentados no Brasil ou no exterior, que sejam produtos das atividades desenvolvidas na mobilidade acadêmica;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De acordo com a necessidade do IFAL, participar de eventos de divulgação, palestras e reuniões para socialização das experiências vivenciadas durante a participação do programa de mobilidade da IES estrangeira, com outros alunos dos campi do IFAL;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Ceder ao IFAL, de maneira irrevogável e irretratável, a título gratuito, o direito de imagem e/ou voz para anúncios relativos à divulgação do seu programa de intercâmbio, no período de sua permanência;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Comunicar imediatamente à Coordenação de Relações Internacionais caso ocorra algum fato que venha a impedir a ida do estudante para o exterior ou interromper o período de mobilidade; e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Ressarcir o IFAL de todo investimento feito, caso não possa viajar e/ou interromper o período de mobilidade, na ocorrência de desistência, abandono do curso ou a não obtenção de desempenho acadêmico satisfatório, salvo em caso de doença grave. Neste caso, deverão ser apresentados os documentos comprobatórios apropriados. </w:t>
      </w:r>
    </w:p>
    <w:p w:rsidR="00000000" w:rsidDel="00000000" w:rsidP="00000000" w:rsidRDefault="00000000" w:rsidRPr="00000000" w14:paraId="00000023">
      <w:pPr>
        <w:ind w:firstLine="36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Declaro ainda estar ciente de que o não cumprimento destes compromissos impossibilitará a concessão de qualquer declaração, recomendação, encaminhamentos ou benefícios oriundos do programa de mobilidade, até que seja regularizada minha situação perante a instituição, assim como a prática de fraude e a conduta indevida na IES estrangeira implicarão o cancelamento da mobilidade acadêmica, com a restituição dos valores recebidos, acarretando, ainda, a impossibilidade de participar de outra mobilidade internacional gerenciada pelo IFAL, durante meu curso. </w:t>
      </w:r>
    </w:p>
    <w:p w:rsidR="00000000" w:rsidDel="00000000" w:rsidP="00000000" w:rsidRDefault="00000000" w:rsidRPr="00000000" w14:paraId="00000024">
      <w:pPr>
        <w:ind w:firstLine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26">
      <w:pPr>
        <w:ind w:firstLine="360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Assinatura da/o estudante</w:t>
      </w:r>
    </w:p>
    <w:p w:rsidR="00000000" w:rsidDel="00000000" w:rsidP="00000000" w:rsidRDefault="00000000" w:rsidRPr="00000000" w14:paraId="00000027">
      <w:pPr>
        <w:ind w:firstLine="360"/>
        <w:jc w:val="center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28">
      <w:pPr>
        <w:ind w:firstLine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__________________________                             ___________________________</w:t>
      </w:r>
    </w:p>
    <w:p w:rsidR="00000000" w:rsidDel="00000000" w:rsidP="00000000" w:rsidRDefault="00000000" w:rsidRPr="00000000" w14:paraId="0000002A">
      <w:pPr>
        <w:ind w:firstLine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Diretora/or de Ensino ou equivalente                                 Diretora/or do Campus</w:t>
      </w:r>
    </w:p>
    <w:p w:rsidR="00000000" w:rsidDel="00000000" w:rsidP="00000000" w:rsidRDefault="00000000" w:rsidRPr="00000000" w14:paraId="0000002B">
      <w:pPr>
        <w:spacing w:after="200" w:before="0" w:lineRule="auto"/>
        <w:ind w:firstLine="360"/>
        <w:rPr/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Data:                                                                                           Data: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0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Telefone: (82) 3194-1150. www.ifal.edu.br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3935095</wp:posOffset>
          </wp:positionH>
          <wp:positionV relativeFrom="paragraph">
            <wp:posOffset>-209549</wp:posOffset>
          </wp:positionV>
          <wp:extent cx="1759585" cy="105600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9585" cy="10560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288925</wp:posOffset>
          </wp:positionH>
          <wp:positionV relativeFrom="paragraph">
            <wp:posOffset>73660</wp:posOffset>
          </wp:positionV>
          <wp:extent cx="695960" cy="7524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2359342</wp:posOffset>
          </wp:positionH>
          <wp:positionV relativeFrom="paragraph">
            <wp:posOffset>635</wp:posOffset>
          </wp:positionV>
          <wp:extent cx="681355" cy="681355"/>
          <wp:effectExtent b="0" l="0" r="0" t="0"/>
          <wp:wrapSquare wrapText="bothSides" distB="0" distT="0" distL="0" distR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rtl w:val="0"/>
      </w:rPr>
      <w:t xml:space="preserve">                                            </w:t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Instituto Federal de Alagoas – IFAL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Coordenação de Relações Internacionais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