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192" w:before="86" w:after="0"/>
        <w:ind w:left="1150" w:right="6949" w:hanging="0"/>
        <w:jc w:val="left"/>
        <w:rPr>
          <w:rFonts w:ascii="Arial Black" w:hAnsi="Arial Black" w:eastAsia="Arial Black" w:cs="Arial Black"/>
          <w:sz w:val="20"/>
          <w:szCs w:val="20"/>
        </w:rPr>
      </w:pPr>
      <w:r>
        <w:rPr>
          <w:rFonts w:eastAsia="Arial Black" w:cs="Arial Black" w:ascii="Arial Black" w:hAnsi="Arial Black"/>
          <w:sz w:val="20"/>
          <w:szCs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2818765</wp:posOffset>
            </wp:positionH>
            <wp:positionV relativeFrom="paragraph">
              <wp:posOffset>140970</wp:posOffset>
            </wp:positionV>
            <wp:extent cx="993775" cy="982345"/>
            <wp:effectExtent l="0" t="0" r="0" b="0"/>
            <wp:wrapSquare wrapText="bothSides"/>
            <wp:docPr id="1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5111750</wp:posOffset>
            </wp:positionH>
            <wp:positionV relativeFrom="paragraph">
              <wp:posOffset>223520</wp:posOffset>
            </wp:positionV>
            <wp:extent cx="1076325" cy="864235"/>
            <wp:effectExtent l="0" t="0" r="0" b="0"/>
            <wp:wrapSquare wrapText="bothSides"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Black" w:hAnsi="Arial Black" w:eastAsia="Arial Black" w:cs="Arial Black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 Black" w:cs="Arial Black" w:ascii="Arial Black" w:hAnsi="Arial Bl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                                                                     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Black" w:hAnsi="Arial Black" w:eastAsia="Arial Black" w:cs="Arial Black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 Black" w:cs="Arial Black" w:ascii="Arial Black" w:hAnsi="Arial Bl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300355</wp:posOffset>
            </wp:positionH>
            <wp:positionV relativeFrom="paragraph">
              <wp:posOffset>23495</wp:posOffset>
            </wp:positionV>
            <wp:extent cx="1035685" cy="867410"/>
            <wp:effectExtent l="0" t="0" r="0" b="0"/>
            <wp:wrapSquare wrapText="bothSides"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Black" w:hAnsi="Arial Black" w:eastAsia="Arial Black" w:cs="Arial Black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 Black" w:cs="Arial Black" w:ascii="Arial Black" w:hAnsi="Arial Bl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 Black" w:hAnsi="Arial Black" w:eastAsia="Arial Black" w:cs="Arial Black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 Black" w:cs="Arial Black" w:ascii="Arial Black" w:hAnsi="Arial Bl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 Black" w:hAnsi="Arial Black" w:eastAsia="Arial Black" w:cs="Arial Black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 Black" w:cs="Arial Black" w:ascii="Arial Black" w:hAnsi="Arial Bl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 Black" w:hAnsi="Arial Black" w:eastAsia="Arial Black" w:cs="Arial Black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 Black" w:cs="Arial Black" w:ascii="Arial Black" w:hAnsi="Arial Bl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 Black" w:hAnsi="Arial Black" w:eastAsia="Arial Black" w:cs="Arial Black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 Black" w:cs="Arial Black" w:ascii="Arial Black" w:hAnsi="Arial Bl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 Black" w:hAnsi="Arial Black" w:eastAsia="Arial Black" w:cs="Arial Black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 Black" w:cs="Arial Black" w:ascii="Arial Black" w:hAnsi="Arial Black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LOnormal"/>
        <w:shd w:val="clear" w:fill="auto"/>
        <w:spacing w:lineRule="auto" w:line="300" w:before="200" w:after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FLUXO ADICIONAIS OCUPACIONAIS </w:t>
      </w:r>
    </w:p>
    <w:p>
      <w:pPr>
        <w:pStyle w:val="LOnormal"/>
        <w:shd w:val="clear" w:fill="auto"/>
        <w:spacing w:lineRule="auto" w:line="300" w:before="200" w:after="0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</w:t>
      </w:r>
      <w:r>
        <w:rPr>
          <w:rFonts w:eastAsia="Arial MT" w:cs="Arial MT" w:ascii="Arial" w:hAnsi="Arial"/>
          <w:b/>
          <w:color w:val="auto"/>
          <w:kern w:val="0"/>
          <w:sz w:val="24"/>
          <w:szCs w:val="24"/>
          <w:lang w:val="pt-PT" w:eastAsia="zh-CN" w:bidi="hi-IN"/>
        </w:rPr>
        <w:t>O servidor / a servidora deve:</w:t>
      </w:r>
    </w:p>
    <w:p>
      <w:pPr>
        <w:pStyle w:val="LOnormal"/>
        <w:numPr>
          <w:ilvl w:val="0"/>
          <w:numId w:val="8"/>
        </w:numPr>
        <w:shd w:val="clear" w:fill="auto"/>
        <w:spacing w:lineRule="auto" w:line="300" w:before="200" w:after="0"/>
        <w:rPr/>
      </w:pPr>
      <w:r>
        <w:rPr>
          <w:rFonts w:eastAsia="Arial MT" w:cs="Arial MT" w:ascii="Arial" w:hAnsi="Arial"/>
          <w:b/>
          <w:bCs/>
          <w:color w:val="auto"/>
          <w:kern w:val="0"/>
          <w:sz w:val="24"/>
          <w:szCs w:val="24"/>
          <w:lang w:val="pt-PT" w:eastAsia="zh-CN" w:bidi="hi-IN"/>
        </w:rPr>
        <w:t xml:space="preserve">Cadastrar processo </w:t>
      </w:r>
      <w:r>
        <w:rPr>
          <w:rFonts w:ascii="Arial" w:hAnsi="Arial"/>
          <w:b/>
          <w:bCs/>
          <w:sz w:val="24"/>
          <w:szCs w:val="24"/>
        </w:rPr>
        <w:t>no SIPAC;</w:t>
      </w:r>
    </w:p>
    <w:p>
      <w:pPr>
        <w:pStyle w:val="LOnormal"/>
        <w:numPr>
          <w:ilvl w:val="0"/>
          <w:numId w:val="8"/>
        </w:numPr>
        <w:shd w:val="clear" w:fill="auto"/>
        <w:spacing w:lineRule="auto" w:line="300" w:before="200" w:after="0"/>
        <w:rPr/>
      </w:pPr>
      <w:r>
        <w:rPr>
          <w:rFonts w:ascii="Arial" w:hAnsi="Arial"/>
          <w:b/>
          <w:bCs/>
          <w:sz w:val="24"/>
          <w:szCs w:val="24"/>
        </w:rPr>
        <w:t>Selecionar o tipo de processo : ADICIONAL DE INSALUBRIDADE/PERICULOSIDADE (DOCENTE OU TAE)</w:t>
      </w:r>
    </w:p>
    <w:p>
      <w:pPr>
        <w:pStyle w:val="LOnormal"/>
        <w:numPr>
          <w:ilvl w:val="0"/>
          <w:numId w:val="8"/>
        </w:numPr>
        <w:shd w:val="clear" w:fill="auto"/>
        <w:spacing w:lineRule="auto" w:line="300" w:before="200" w:after="0"/>
        <w:rPr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Anexar as seguintes documentações:</w:t>
      </w:r>
    </w:p>
    <w:p>
      <w:pPr>
        <w:pStyle w:val="LOnormal"/>
        <w:shd w:val="clear" w:fill="auto"/>
        <w:spacing w:lineRule="auto" w:line="300" w:before="200" w:after="0"/>
        <w:jc w:val="both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Se </w:t>
      </w:r>
      <w:r>
        <w:rPr>
          <w:rFonts w:eastAsia="Arial MT" w:cs="Arial MT" w:ascii="Arial" w:hAnsi="Arial"/>
          <w:b/>
          <w:bCs/>
          <w:color w:val="auto"/>
          <w:kern w:val="0"/>
          <w:sz w:val="24"/>
          <w:szCs w:val="24"/>
          <w:lang w:val="pt-PT" w:eastAsia="zh-CN" w:bidi="hi-IN"/>
        </w:rPr>
        <w:t>Docente</w:t>
      </w:r>
      <w:r>
        <w:rPr>
          <w:rFonts w:ascii="Arial" w:hAnsi="Arial"/>
          <w:b/>
          <w:bCs/>
          <w:sz w:val="24"/>
          <w:szCs w:val="24"/>
        </w:rPr>
        <w:t>:</w:t>
      </w:r>
    </w:p>
    <w:p>
      <w:pPr>
        <w:pStyle w:val="LOnormal"/>
        <w:numPr>
          <w:ilvl w:val="0"/>
          <w:numId w:val="1"/>
        </w:numPr>
        <w:shd w:val="clear" w:fill="auto"/>
        <w:spacing w:lineRule="auto" w:line="300" w:before="200" w:afterAutospacing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eastAsia="Arial MT" w:cs="Arial MT" w:ascii="Arial" w:hAnsi="Arial"/>
          <w:color w:val="auto"/>
          <w:kern w:val="0"/>
          <w:sz w:val="24"/>
          <w:szCs w:val="24"/>
          <w:lang w:val="pt-PT" w:eastAsia="zh-CN" w:bidi="hi-IN"/>
        </w:rPr>
        <w:t>Formulário para adicional de insalubridade/periculosidade (DOCENTE</w:t>
      </w:r>
      <w:r>
        <w:rPr>
          <w:rFonts w:ascii="Arial" w:hAnsi="Arial"/>
          <w:sz w:val="24"/>
          <w:szCs w:val="24"/>
        </w:rPr>
        <w:t>), com</w:t>
      </w:r>
      <w:r>
        <w:rPr>
          <w:rFonts w:ascii="Arial" w:hAnsi="Arial"/>
          <w:b/>
          <w:sz w:val="24"/>
          <w:szCs w:val="24"/>
        </w:rPr>
        <w:t xml:space="preserve"> assinatura do Servidor(a) e da Chefia imediata</w:t>
      </w:r>
      <w:r>
        <w:rPr>
          <w:rFonts w:ascii="Arial" w:hAnsi="Arial"/>
          <w:sz w:val="24"/>
          <w:szCs w:val="24"/>
        </w:rPr>
        <w:t>. (Disponível no SIPAC);</w:t>
      </w:r>
    </w:p>
    <w:p>
      <w:pPr>
        <w:pStyle w:val="LOnormal"/>
        <w:numPr>
          <w:ilvl w:val="0"/>
          <w:numId w:val="1"/>
        </w:numPr>
        <w:spacing w:beforeAutospacing="0" w:before="0" w:afterAutospacing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Plano de Aula (Plano Individual de Trabalho);</w:t>
      </w:r>
    </w:p>
    <w:p>
      <w:pPr>
        <w:pStyle w:val="LOnormal"/>
        <w:numPr>
          <w:ilvl w:val="0"/>
          <w:numId w:val="1"/>
        </w:numPr>
        <w:spacing w:beforeAutospacing="0" w:before="0" w:afterAutospacing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Portaria de lotação;</w:t>
      </w:r>
    </w:p>
    <w:p>
      <w:pPr>
        <w:pStyle w:val="LOnormal"/>
        <w:numPr>
          <w:ilvl w:val="0"/>
          <w:numId w:val="1"/>
        </w:numPr>
        <w:spacing w:beforeAutospacing="0" w:before="0" w:afterAutospacing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Formulário de ateste de</w:t>
      </w:r>
      <w:r>
        <w:rPr>
          <w:rFonts w:ascii="Arial" w:hAnsi="Arial"/>
          <w:sz w:val="24"/>
          <w:szCs w:val="24"/>
        </w:rPr>
        <w:t xml:space="preserve"> frequência de exposição a</w:t>
      </w:r>
      <w:r>
        <w:rPr>
          <w:rFonts w:ascii="Arial" w:hAnsi="Arial"/>
          <w:sz w:val="24"/>
          <w:szCs w:val="24"/>
        </w:rPr>
        <w:t>ssinado pela chefia imediata</w:t>
      </w:r>
      <w:r>
        <w:rPr>
          <w:rFonts w:ascii="Arial" w:hAnsi="Arial"/>
          <w:sz w:val="24"/>
          <w:szCs w:val="24"/>
        </w:rPr>
        <w:t xml:space="preserve"> (Vide Orientação Normativa 04/2017 do MPOG);</w:t>
      </w:r>
    </w:p>
    <w:p>
      <w:pPr>
        <w:pStyle w:val="LOnormal"/>
        <w:numPr>
          <w:ilvl w:val="0"/>
          <w:numId w:val="1"/>
        </w:numPr>
        <w:spacing w:beforeAutospacing="0" w:before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Encaminhar para CSS – Coordenação de Saúde do Servidor.</w:t>
      </w:r>
    </w:p>
    <w:p>
      <w:pPr>
        <w:pStyle w:val="LO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 Técnico:</w:t>
      </w:r>
    </w:p>
    <w:p>
      <w:pPr>
        <w:pStyle w:val="LOnormal"/>
        <w:numPr>
          <w:ilvl w:val="0"/>
          <w:numId w:val="2"/>
        </w:numPr>
        <w:shd w:val="clear" w:fill="auto"/>
        <w:spacing w:lineRule="auto" w:line="300" w:before="200" w:afterAutospacing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eastAsia="Arial MT" w:cs="Arial MT" w:ascii="Arial" w:hAnsi="Arial"/>
          <w:color w:val="auto"/>
          <w:kern w:val="0"/>
          <w:sz w:val="24"/>
          <w:szCs w:val="24"/>
          <w:lang w:val="pt-PT" w:eastAsia="zh-CN" w:bidi="hi-IN"/>
        </w:rPr>
        <w:t>Formulário para adicional de insalubridade/periculosidade (TAE</w:t>
      </w:r>
      <w:r>
        <w:rPr>
          <w:rFonts w:ascii="Arial" w:hAnsi="Arial"/>
          <w:sz w:val="24"/>
          <w:szCs w:val="24"/>
        </w:rPr>
        <w:t>), com</w:t>
      </w:r>
      <w:r>
        <w:rPr>
          <w:rFonts w:ascii="Arial" w:hAnsi="Arial"/>
          <w:b/>
          <w:sz w:val="24"/>
          <w:szCs w:val="24"/>
        </w:rPr>
        <w:t xml:space="preserve"> assinatura do Servidor(a) e da Chefia imediata</w:t>
      </w:r>
      <w:r>
        <w:rPr>
          <w:rFonts w:ascii="Arial" w:hAnsi="Arial"/>
          <w:sz w:val="24"/>
          <w:szCs w:val="24"/>
        </w:rPr>
        <w:t>. (Disponível no SIPAC);</w:t>
      </w:r>
    </w:p>
    <w:p>
      <w:pPr>
        <w:pStyle w:val="LOnormal"/>
        <w:numPr>
          <w:ilvl w:val="0"/>
          <w:numId w:val="2"/>
        </w:numPr>
        <w:spacing w:beforeAutospacing="0" w:before="0" w:afterAutospacing="0" w:after="0"/>
        <w:ind w:left="720" w:right="0" w:hanging="360"/>
        <w:jc w:val="both"/>
        <w:rPr>
          <w:rFonts w:ascii="Arial" w:hAnsi="Arial" w:eastAsia="Arial MT" w:cs="Arial MT"/>
          <w:color w:val="auto"/>
          <w:kern w:val="0"/>
          <w:sz w:val="24"/>
          <w:szCs w:val="24"/>
          <w:lang w:val="pt-PT" w:eastAsia="zh-CN" w:bidi="hi-IN"/>
        </w:rPr>
      </w:pPr>
      <w:r>
        <w:rPr>
          <w:rFonts w:eastAsia="Arial MT" w:cs="Arial MT" w:ascii="Arial" w:hAnsi="Arial"/>
          <w:color w:val="auto"/>
          <w:kern w:val="0"/>
          <w:sz w:val="24"/>
          <w:szCs w:val="24"/>
          <w:lang w:val="pt-PT" w:eastAsia="zh-CN" w:bidi="hi-IN"/>
        </w:rPr>
        <w:t>Frequência do SIGRH e Atividades desempenhadas;</w:t>
      </w:r>
    </w:p>
    <w:p>
      <w:pPr>
        <w:pStyle w:val="LOnormal"/>
        <w:numPr>
          <w:ilvl w:val="0"/>
          <w:numId w:val="2"/>
        </w:numPr>
        <w:spacing w:beforeAutospacing="0" w:before="0" w:afterAutospacing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Portaria de lotação;</w:t>
      </w:r>
    </w:p>
    <w:p>
      <w:pPr>
        <w:pStyle w:val="LOnormal"/>
        <w:numPr>
          <w:ilvl w:val="0"/>
          <w:numId w:val="2"/>
        </w:numPr>
        <w:spacing w:beforeAutospacing="0" w:before="0" w:afterAutospacing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Formulário de ateste de</w:t>
      </w:r>
      <w:r>
        <w:rPr>
          <w:rFonts w:ascii="Arial" w:hAnsi="Arial"/>
          <w:sz w:val="24"/>
          <w:szCs w:val="24"/>
        </w:rPr>
        <w:t xml:space="preserve"> frequência de exposição a</w:t>
      </w:r>
      <w:r>
        <w:rPr>
          <w:rFonts w:ascii="Arial" w:hAnsi="Arial"/>
          <w:sz w:val="24"/>
          <w:szCs w:val="24"/>
        </w:rPr>
        <w:t>ssinado pela chefia imediata</w:t>
      </w:r>
      <w:r>
        <w:rPr>
          <w:rFonts w:ascii="Arial" w:hAnsi="Arial"/>
          <w:sz w:val="24"/>
          <w:szCs w:val="24"/>
        </w:rPr>
        <w:t xml:space="preserve"> (Vide Orientação Normativa 04/2017 do MPOG);</w:t>
      </w:r>
    </w:p>
    <w:p>
      <w:pPr>
        <w:pStyle w:val="LOnormal"/>
        <w:numPr>
          <w:ilvl w:val="0"/>
          <w:numId w:val="2"/>
        </w:numPr>
        <w:spacing w:lineRule="auto" w:line="300" w:beforeAutospacing="0" w:before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Encaminhar para CSS – Coordenação de Saúde do Servidor.</w:t>
      </w:r>
    </w:p>
    <w:p>
      <w:pPr>
        <w:pStyle w:val="LOnormal"/>
        <w:shd w:val="clear" w:fill="auto"/>
        <w:spacing w:lineRule="auto" w:line="300" w:before="20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. CSS:</w:t>
      </w:r>
    </w:p>
    <w:p>
      <w:pPr>
        <w:pStyle w:val="LOnormal"/>
        <w:numPr>
          <w:ilvl w:val="0"/>
          <w:numId w:val="3"/>
        </w:numPr>
        <w:shd w:val="clear" w:fill="auto"/>
        <w:spacing w:lineRule="auto" w:line="300" w:before="20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Conferir documentação e acrescentar UORG e função do servidor (se houver) e encaminhar para Engenheira de Segurança do Trabalho.</w:t>
      </w:r>
    </w:p>
    <w:p>
      <w:pPr>
        <w:pStyle w:val="LOnormal"/>
        <w:numPr>
          <w:ilvl w:val="0"/>
          <w:numId w:val="0"/>
        </w:numPr>
        <w:shd w:val="clear" w:fill="auto"/>
        <w:spacing w:lineRule="auto" w:line="300" w:before="200" w:after="0"/>
        <w:ind w:left="1080" w:right="0" w:hanging="0"/>
        <w:jc w:val="both"/>
        <w:rPr/>
      </w:pPr>
      <w:r>
        <w:rPr/>
      </w:r>
    </w:p>
    <w:p>
      <w:pPr>
        <w:pStyle w:val="LOnormal"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3. Engenheiro(a) de Segurança no Trabalho: </w:t>
      </w:r>
    </w:p>
    <w:p>
      <w:pPr>
        <w:pStyle w:val="LOnormal"/>
        <w:numPr>
          <w:ilvl w:val="0"/>
          <w:numId w:val="4"/>
        </w:numPr>
        <w:shd w:val="clear" w:fill="auto"/>
        <w:spacing w:lineRule="auto" w:line="240" w:before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Emissão e cadastro  de Laudo Técnico Ambiental no Siapenet. </w:t>
      </w:r>
    </w:p>
    <w:p>
      <w:pPr>
        <w:pStyle w:val="LOnormal"/>
        <w:numPr>
          <w:ilvl w:val="0"/>
          <w:numId w:val="4"/>
        </w:numPr>
        <w:shd w:val="clear" w:fill="auto"/>
        <w:spacing w:lineRule="auto" w:line="240" w:before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Emissão de parecer e encaminhar para CSS.</w:t>
      </w:r>
    </w:p>
    <w:p>
      <w:pPr>
        <w:pStyle w:val="LOnormal"/>
        <w:shd w:val="clear" w:fill="auto"/>
        <w:spacing w:lineRule="auto" w:line="240" w:before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hd w:val="clear" w:fill="auto"/>
        <w:spacing w:lineRule="auto" w:line="240" w:before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hd w:val="clear" w:fill="auto"/>
        <w:spacing w:lineRule="auto" w:line="240" w:before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 CSS: </w:t>
      </w:r>
    </w:p>
    <w:p>
      <w:pPr>
        <w:pStyle w:val="LOnormal"/>
        <w:numPr>
          <w:ilvl w:val="0"/>
          <w:numId w:val="5"/>
        </w:numPr>
        <w:spacing w:lineRule="auto" w:line="240" w:before="0" w:afterAutospacing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 deferido</w:t>
      </w:r>
      <w:r>
        <w:rPr>
          <w:rFonts w:ascii="Arial" w:hAnsi="Arial"/>
          <w:sz w:val="24"/>
          <w:szCs w:val="24"/>
        </w:rPr>
        <w:t xml:space="preserve"> - Emissão de parecer pela CSS, conforme parecer da Engenheira de Segurança do Trabalho, solicitando manifestação da DGP.</w:t>
      </w:r>
    </w:p>
    <w:p>
      <w:pPr>
        <w:pStyle w:val="LOnormal"/>
        <w:numPr>
          <w:ilvl w:val="0"/>
          <w:numId w:val="5"/>
        </w:numPr>
        <w:spacing w:lineRule="auto" w:line="240" w:beforeAutospacing="0" w:before="0" w:afterAutospacing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 indeferido</w:t>
      </w:r>
      <w:r>
        <w:rPr>
          <w:rFonts w:ascii="Arial" w:hAnsi="Arial"/>
          <w:sz w:val="24"/>
          <w:szCs w:val="24"/>
        </w:rPr>
        <w:t xml:space="preserve"> - Processo vai para ciência do servidor.</w:t>
      </w:r>
    </w:p>
    <w:p>
      <w:pPr>
        <w:pStyle w:val="LOnormal"/>
        <w:numPr>
          <w:ilvl w:val="0"/>
          <w:numId w:val="5"/>
        </w:numPr>
        <w:spacing w:lineRule="auto" w:line="240" w:beforeAutospacing="0" w:before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 deferido</w:t>
      </w:r>
      <w:r>
        <w:rPr>
          <w:rFonts w:ascii="Arial" w:hAnsi="Arial"/>
          <w:sz w:val="24"/>
          <w:szCs w:val="24"/>
        </w:rPr>
        <w:t xml:space="preserve"> - Emissão de Minuta de Portaria pela CSS e encaminha para o Gabinete da Reitoria.</w:t>
      </w:r>
    </w:p>
    <w:p>
      <w:pPr>
        <w:pStyle w:val="LOnormal"/>
        <w:widowControl w:val="false"/>
        <w:numPr>
          <w:ilvl w:val="0"/>
          <w:numId w:val="5"/>
        </w:numPr>
        <w:spacing w:lineRule="auto" w:line="240" w:before="0" w:after="40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 indeferido</w:t>
      </w:r>
      <w:r>
        <w:rPr>
          <w:rFonts w:ascii="Arial" w:hAnsi="Arial"/>
          <w:sz w:val="24"/>
          <w:szCs w:val="24"/>
        </w:rPr>
        <w:t xml:space="preserve"> - Processo vai para ciência do servidor.</w:t>
      </w:r>
    </w:p>
    <w:p>
      <w:pPr>
        <w:pStyle w:val="LOnormal"/>
        <w:widowControl w:val="false"/>
        <w:spacing w:lineRule="auto" w:line="240" w:before="0" w:after="40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 Gabinete da Reitoria:</w:t>
      </w:r>
    </w:p>
    <w:p>
      <w:pPr>
        <w:pStyle w:val="LOnormal"/>
        <w:widowControl w:val="false"/>
        <w:numPr>
          <w:ilvl w:val="0"/>
          <w:numId w:val="6"/>
        </w:numPr>
        <w:spacing w:lineRule="auto" w:line="240" w:before="0" w:after="40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da Portaria pelo Reitor e publicação no Boletim de Serviço.</w:t>
      </w:r>
    </w:p>
    <w:p>
      <w:pPr>
        <w:pStyle w:val="LOnormal"/>
        <w:shd w:val="clear" w:fill="auto"/>
        <w:spacing w:lineRule="auto" w:line="240" w:before="0" w:after="0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6. CSS:</w:t>
      </w:r>
    </w:p>
    <w:p>
      <w:pPr>
        <w:pStyle w:val="LOnormal"/>
        <w:numPr>
          <w:ilvl w:val="0"/>
          <w:numId w:val="7"/>
        </w:numPr>
        <w:spacing w:lineRule="auto" w:line="240" w:before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Após assinada, é gerado o número da Portaria pelo SIPAC;</w:t>
      </w:r>
    </w:p>
    <w:p>
      <w:pPr>
        <w:pStyle w:val="LOnormal"/>
        <w:numPr>
          <w:ilvl w:val="0"/>
          <w:numId w:val="7"/>
        </w:numPr>
        <w:spacing w:lineRule="auto" w:line="240" w:before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Entra no SIAPENET (Módulo de Adicionais).</w:t>
      </w:r>
    </w:p>
    <w:p>
      <w:pPr>
        <w:pStyle w:val="LOnormal"/>
        <w:numPr>
          <w:ilvl w:val="0"/>
          <w:numId w:val="7"/>
        </w:numPr>
        <w:spacing w:lineRule="auto" w:line="240" w:before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Localiza o servidor.</w:t>
      </w:r>
    </w:p>
    <w:p>
      <w:pPr>
        <w:pStyle w:val="LOnormal"/>
        <w:numPr>
          <w:ilvl w:val="0"/>
          <w:numId w:val="7"/>
        </w:numPr>
        <w:spacing w:lineRule="auto" w:line="240" w:before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Gera Portaria SIAPENET, a partir dos dados da Portaria SIPAC,</w:t>
      </w:r>
    </w:p>
    <w:p>
      <w:pPr>
        <w:pStyle w:val="LOnormal"/>
        <w:numPr>
          <w:ilvl w:val="0"/>
          <w:numId w:val="7"/>
        </w:numPr>
        <w:spacing w:lineRule="auto" w:line="240" w:before="0" w:after="0"/>
        <w:ind w:left="720" w:right="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Cadastra a vigência do laudo no SIAPENET e confirma. Automaticamente o pagamento da rubrica entra na Folha de Pagamento do servidor.</w:t>
      </w:r>
    </w:p>
    <w:p>
      <w:pPr>
        <w:pStyle w:val="LOnormal"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Encaminha o processo para a CGP do campus de lotação do servidor, para ciência do servidor e arquivo.</w:t>
      </w:r>
    </w:p>
    <w:p>
      <w:pPr>
        <w:pStyle w:val="LOnormal"/>
        <w:numPr>
          <w:ilvl w:val="0"/>
          <w:numId w:val="0"/>
        </w:numPr>
        <w:shd w:val="clear" w:fill="auto"/>
        <w:spacing w:lineRule="auto" w:line="240" w:before="0" w:after="0"/>
        <w:ind w:left="108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hd w:val="clear" w:fill="auto"/>
        <w:spacing w:lineRule="auto" w:line="240" w:before="0" w:after="0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7.CGP do campus de lotação do servidor:</w:t>
      </w:r>
    </w:p>
    <w:p>
      <w:pPr>
        <w:pStyle w:val="LOnormal"/>
        <w:numPr>
          <w:ilvl w:val="0"/>
          <w:numId w:val="7"/>
        </w:numPr>
        <w:spacing w:lineRule="auto" w:line="240" w:before="0" w:after="0"/>
        <w:ind w:left="720" w:right="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Encaminha o processo para o setor de lotação do servidor, para ciência.</w:t>
      </w:r>
    </w:p>
    <w:p>
      <w:pPr>
        <w:pStyle w:val="LOnormal"/>
        <w:numPr>
          <w:ilvl w:val="0"/>
          <w:numId w:val="7"/>
        </w:numPr>
        <w:spacing w:lineRule="auto" w:line="240" w:before="0" w:after="0"/>
        <w:ind w:left="720" w:right="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Após ciência do servidor,  arquivar.</w:t>
      </w:r>
    </w:p>
    <w:p>
      <w:pPr>
        <w:pStyle w:val="LOnormal"/>
        <w:shd w:val="clear" w:fill="auto"/>
        <w:spacing w:lineRule="auto" w:line="240" w:before="0" w:after="0"/>
        <w:ind w:left="720" w:right="0" w:hanging="0"/>
        <w:jc w:val="center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  <w:bookmarkStart w:id="0" w:name="bookmark=id.gjdgxs"/>
      <w:bookmarkStart w:id="1" w:name="bookmark=id.gjdgxs"/>
      <w:bookmarkEnd w:id="1"/>
    </w:p>
    <w:p>
      <w:pPr>
        <w:pStyle w:val="Ttulo3"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  <w:t>FLUXOGRAMA –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  <w:t>CONCESSÃO DE ADICIONAL OCUPACIONAL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hanging="0"/>
        <w:jc w:val="left"/>
        <w:rPr>
          <w:rFonts w:ascii="Arial" w:hAnsi="Arial" w:eastAsia="Proxima Nova" w:cs="Proxima Nov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Proxima Nova" w:cs="Proxima Nova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101" w:type="dxa"/>
        <w:jc w:val="left"/>
        <w:tblInd w:w="-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3"/>
        <w:gridCol w:w="1841"/>
        <w:gridCol w:w="6277"/>
      </w:tblGrid>
      <w:tr>
        <w:trPr/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99999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518" w:before="0" w:after="40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Passos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99999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518" w:before="0" w:after="40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Responsável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99999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518" w:before="0" w:after="40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Detalhamento da ação</w:t>
            </w:r>
          </w:p>
        </w:tc>
      </w:tr>
      <w:tr>
        <w:trPr>
          <w:trHeight w:val="1065" w:hRule="atLeast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518" w:before="0" w:after="40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518" w:before="0" w:after="40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Servidor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400"/>
              <w:ind w:left="0" w:righ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Abertura de </w:t>
            </w:r>
            <w:r>
              <w:rPr>
                <w:rFonts w:eastAsia="Arial" w:cs="Arial" w:ascii="Arial" w:hAnsi="Arial"/>
                <w:sz w:val="24"/>
                <w:szCs w:val="24"/>
              </w:rPr>
              <w:t>Processo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Administrativo e encaminha para </w:t>
            </w:r>
            <w:r>
              <w:rPr>
                <w:rFonts w:eastAsia="Arial" w:cs="Arial" w:ascii="Arial" w:hAnsi="Arial"/>
                <w:sz w:val="24"/>
                <w:szCs w:val="24"/>
              </w:rPr>
              <w:t>a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CSS</w:t>
            </w:r>
            <w:r>
              <w:rPr>
                <w:rFonts w:eastAsia="Arial" w:cs="Arial" w:ascii="Arial" w:hAnsi="Arial"/>
                <w:sz w:val="24"/>
                <w:szCs w:val="24"/>
              </w:rPr>
              <w:t>, para providências.</w:t>
            </w:r>
          </w:p>
        </w:tc>
      </w:tr>
      <w:tr>
        <w:trPr>
          <w:trHeight w:val="1725" w:hRule="atLeast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518" w:before="0" w:after="400"/>
              <w:ind w:left="0" w:righ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</w:t>
            </w:r>
            <w:r>
              <w:rPr>
                <w:rFonts w:eastAsia="Arial"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518" w:before="0" w:after="40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CSS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40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Encaminha para Engenheira de Segurança do Trabalho, para análise e parecer.</w:t>
            </w:r>
          </w:p>
        </w:tc>
      </w:tr>
      <w:tr>
        <w:trPr>
          <w:trHeight w:val="2105" w:hRule="atLeast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518" w:before="0" w:after="400"/>
              <w:ind w:left="0" w:righ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</w:t>
            </w:r>
            <w:r>
              <w:rPr>
                <w:rFonts w:eastAsia="Arial"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518" w:before="0" w:after="40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Engenheira de Segurança do Trabalho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400"/>
              <w:ind w:left="0" w:righ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Emissão e cadastro  de Laudo Técnico Ambiental no Siapenet.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400"/>
              <w:ind w:left="0" w:righ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Emissão de parecer e encaminhar para CSS.</w:t>
            </w:r>
          </w:p>
        </w:tc>
      </w:tr>
      <w:tr>
        <w:trPr>
          <w:trHeight w:val="2844" w:hRule="atLeast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518" w:before="0" w:after="400"/>
              <w:ind w:left="0" w:righ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</w:t>
            </w:r>
            <w:r>
              <w:rPr>
                <w:rFonts w:eastAsia="Arial"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518" w:before="0" w:after="400"/>
              <w:ind w:left="0" w:righ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</w:t>
            </w:r>
            <w:r>
              <w:rPr>
                <w:rFonts w:eastAsia="Arial" w:cs="Arial" w:ascii="Arial" w:hAnsi="Arial"/>
                <w:sz w:val="24"/>
                <w:szCs w:val="24"/>
              </w:rPr>
              <w:t>SS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Se deferido</w:t>
            </w:r>
            <w:r>
              <w:rPr>
                <w:rFonts w:ascii="Arial" w:hAnsi="Arial"/>
                <w:sz w:val="24"/>
                <w:szCs w:val="24"/>
              </w:rPr>
              <w:t xml:space="preserve"> - Emissão de parecer pela CSS, conforme parecer da Engenheira de Segurança do Trabalho, solicitando manifestação da DGP.</w:t>
            </w:r>
          </w:p>
          <w:p>
            <w:pPr>
              <w:pStyle w:val="LOnormal"/>
              <w:widowControl w:val="false"/>
              <w:spacing w:lineRule="auto" w:line="24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Se indeferido</w:t>
            </w:r>
            <w:r>
              <w:rPr>
                <w:rFonts w:ascii="Arial" w:hAnsi="Arial"/>
                <w:sz w:val="24"/>
                <w:szCs w:val="24"/>
              </w:rPr>
              <w:t xml:space="preserve"> - Processo vai para ciência do servidor.</w:t>
            </w:r>
          </w:p>
          <w:p>
            <w:pPr>
              <w:pStyle w:val="LOnormal"/>
              <w:widowControl w:val="false"/>
              <w:spacing w:lineRule="auto" w:line="24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Se deferido</w:t>
            </w:r>
            <w:r>
              <w:rPr>
                <w:rFonts w:ascii="Arial" w:hAnsi="Arial"/>
                <w:sz w:val="24"/>
                <w:szCs w:val="24"/>
              </w:rPr>
              <w:t xml:space="preserve"> - Emissão de Minuta de Portaria pela CSS e encaminha para o Gabinete da Reitoria.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40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Se indeferido</w:t>
            </w:r>
            <w:r>
              <w:rPr>
                <w:rFonts w:ascii="Arial" w:hAnsi="Arial"/>
                <w:sz w:val="24"/>
                <w:szCs w:val="24"/>
              </w:rPr>
              <w:t xml:space="preserve"> - Processo vai para ciência do servidor.</w:t>
            </w:r>
          </w:p>
        </w:tc>
      </w:tr>
      <w:tr>
        <w:trPr>
          <w:trHeight w:val="1305" w:hRule="atLeast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518" w:before="0" w:after="400"/>
              <w:ind w:left="0" w:righ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</w:t>
            </w:r>
            <w:r>
              <w:rPr>
                <w:rFonts w:eastAsia="Arial"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518" w:before="0" w:after="400"/>
              <w:ind w:left="0" w:righ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Gabinete da Reitoria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40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Assinatura da Portaria pelo Reitor e publicação no Boletim de Serviço.</w:t>
            </w:r>
          </w:p>
        </w:tc>
      </w:tr>
      <w:tr>
        <w:trPr/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518" w:before="0" w:after="400"/>
              <w:ind w:left="0" w:righ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</w:t>
            </w:r>
            <w:r>
              <w:rPr>
                <w:rFonts w:eastAsia="Arial"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518" w:before="0" w:after="400"/>
              <w:ind w:left="0" w:righ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</w:t>
            </w:r>
            <w:r>
              <w:rPr>
                <w:rFonts w:eastAsia="Arial" w:cs="Arial" w:ascii="Arial" w:hAnsi="Arial"/>
                <w:sz w:val="24"/>
                <w:szCs w:val="24"/>
              </w:rPr>
              <w:t>SS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Após assinada, é gerado o número da Portaria pelo SIPAC;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Entrar no SIAPENET (Módulo de Adicionais).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Localizar o servidor.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Gerar Portaria SIAPENET, a partir dos dados da Portaria SIPAC,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Cadastrar a vigência do laudo no SIAPENET e confirmar. Automaticamente o pagamento da rubrica entra na Folha de Pagamento do servidor.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Encaminhar o processo para a CGP do campus de lotação do servidor, para ciência do servidor e arquivo.</w:t>
            </w:r>
          </w:p>
        </w:tc>
      </w:tr>
      <w:tr>
        <w:trPr/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518" w:before="0" w:after="400"/>
              <w:ind w:left="0" w:righ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518" w:before="0" w:after="400"/>
              <w:ind w:left="0" w:right="0" w:hanging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CGP</w:t>
            </w:r>
          </w:p>
        </w:tc>
        <w:tc>
          <w:tcPr>
            <w:tcW w:w="6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Encaminhar o processo para o setor de lotação do servidor, para ciência.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Após ciência do servidor,  arquivamento do processo eletrônico na pasta do servidor.</w:t>
            </w:r>
          </w:p>
        </w:tc>
      </w:tr>
    </w:tbl>
    <w:p>
      <w:pPr>
        <w:pStyle w:val="LOnormal"/>
        <w:widowControl w:val="false"/>
        <w:shd w:val="clear" w:fill="auto"/>
        <w:spacing w:lineRule="auto" w:line="240" w:before="0" w:after="0"/>
        <w:ind w:left="720" w:right="0" w:hanging="360"/>
        <w:jc w:val="left"/>
        <w:rPr>
          <w:rFonts w:ascii="Arial Black" w:hAnsi="Arial Black" w:eastAsia="Arial Black" w:cs="Arial Black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6"/>
          <w:szCs w:val="16"/>
          <w:u w:val="none"/>
          <w:vertAlign w:val="baseline"/>
        </w:rPr>
      </w:pPr>
      <w:r>
        <w:rPr/>
      </w:r>
    </w:p>
    <w:sectPr>
      <w:type w:val="nextPage"/>
      <w:pgSz w:w="11906" w:h="16820"/>
      <w:pgMar w:left="960" w:right="740" w:header="0" w:top="360" w:footer="0" w:bottom="9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 MT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LOnormal"/>
    <w:next w:val="LOnormal"/>
    <w:uiPriority w:val="1"/>
    <w:qFormat/>
    <w:pPr>
      <w:spacing w:before="92" w:after="0"/>
      <w:jc w:val="center"/>
      <w:outlineLvl w:val="1"/>
    </w:pPr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Ttulo2">
    <w:name w:val="Heading 2"/>
    <w:basedOn w:val="LOnormal"/>
    <w:next w:val="LOnormal"/>
    <w:uiPriority w:val="1"/>
    <w:qFormat/>
    <w:pPr>
      <w:spacing w:before="55" w:after="0"/>
      <w:ind w:left="174" w:right="387" w:hanging="0"/>
      <w:jc w:val="center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Lucida Sans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ListParagraph">
    <w:name w:val="List Paragraph"/>
    <w:basedOn w:val="LOnormal"/>
    <w:uiPriority w:val="1"/>
    <w:qFormat/>
    <w:pPr>
      <w:spacing w:before="126" w:after="0"/>
      <w:ind w:left="418" w:right="0" w:hanging="245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LOnormal"/>
    <w:uiPriority w:val="1"/>
    <w:qFormat/>
    <w:pPr>
      <w:spacing w:before="53" w:after="0"/>
    </w:pPr>
    <w:rPr>
      <w:rFonts w:ascii="Arial MT" w:hAnsi="Arial MT" w:eastAsia="Arial MT" w:cs="Arial MT"/>
      <w:lang w:val="pt-PT" w:eastAsia="en-US" w:bidi="ar-SA"/>
    </w:rPr>
  </w:style>
  <w:style w:type="paragraph" w:styleId="Contedodoquadro">
    <w:name w:val="Conteúdo do quadro"/>
    <w:basedOn w:val="LOnormal"/>
    <w:qFormat/>
    <w:pPr/>
    <w:rPr/>
  </w:style>
  <w:style w:type="paragraph" w:styleId="Subttulo">
    <w:name w:val="Subtitle"/>
    <w:basedOn w:val="LOnormal1"/>
    <w:next w:val="LO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KNI7cXatDm+aXjkCjLxY02OJigw==">AMUW2mVlR6aZ0isZdCsmfmm+H0NAAWz5q6dneKsN7qyY3A1PCkCyzlXFINCVvSTbwwWPnosCxhuFUSfWs9ueSSXeJ5Y6vrA68KLDwDlyf9Q7VLKdXV8TzUtBMVuNUzMOW4HdLBZbUv25mtI2+1t1x+rxUBRui9rGg39rgGTsZp1Bvf6kbAo0Z+o=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LibreOffice/7.1.4.2$Windows_X86_64 LibreOffice_project/a529a4fab45b75fefc5b6226684193eb000654f6</Application>
  <AppVersion>15.0000</AppVersion>
  <Pages>3</Pages>
  <Words>601</Words>
  <Characters>3204</Characters>
  <CharactersWithSpaces>3788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2021-07-05T18:29:47Z</dcterms:created>
  <dc:creator/>
  <dc:description/>
  <dc:language>pt-BR</dc:language>
  <cp:lastModifiedBy/>
  <dcterms:modified xsi:type="dcterms:W3CDTF">2022-03-17T10:26:09Z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