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6600"/>
          <w:sz w:val="21"/>
          <w:szCs w:val="21"/>
          <w:rtl w:val="0"/>
        </w:rPr>
        <w:t xml:space="preserve">Anexo 7.2.: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 Modelo de Minuta de Portaria para instituir Comissão de Inventário dos Câmpus 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8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SERVIÇO PÚBLICO FEDERAL</w:t>
      </w:r>
    </w:p>
    <w:p w:rsidR="00000000" w:rsidDel="00000000" w:rsidP="00000000" w:rsidRDefault="00000000" w:rsidRPr="00000000" w14:paraId="00000005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INSTITUTO FEDERAL DE ALAGOAS</w:t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CÂMPUS ________________________</w:t>
      </w:r>
    </w:p>
    <w:p w:rsidR="00000000" w:rsidDel="00000000" w:rsidP="00000000" w:rsidRDefault="00000000" w:rsidRPr="00000000" w14:paraId="00000008">
      <w:pPr>
        <w:spacing w:before="240" w:line="240" w:lineRule="auto"/>
        <w:jc w:val="center"/>
        <w:rPr>
          <w:rFonts w:ascii="Liberation Serif" w:cs="Liberation Serif" w:eastAsia="Liberation Serif" w:hAnsi="Liberation Serif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PORTARIA Nº XXX, DE XX DE XXXXXX DE 2022</w:t>
      </w:r>
    </w:p>
    <w:p w:rsidR="00000000" w:rsidDel="00000000" w:rsidP="00000000" w:rsidRDefault="00000000" w:rsidRPr="00000000" w14:paraId="0000000A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O DIRETOR GERAL DO CÂMPUS ___________________________________, no uso das atribuições que lhe conferem os arts. ______, da Lei nº ______, de ______, publicada no DOU em ______, nomeado pela Portaria n° ______, do ______, de ______, publicada no DOU em ______, e tendo em vista o disposto na Instrução Normativa SEDAP nº 205, de 08 de abril de 1988, no Decreto nº 99.658, de 30 de outubro de 1990, e na Lei Federal nº 4.320, de 17 de março de 1964,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RESOLVE: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1º Designar os servidores abaixo relacionados para, sob a presidência do primeiro, compor a Comissão de Inventário Anual 2022 dos materiais do Almoxarifado, Câmpus ___________________________________: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02.774074675049"/>
        <w:gridCol w:w="2867.737736348575"/>
        <w:tblGridChange w:id="0">
          <w:tblGrid>
            <w:gridCol w:w="6202.774074675049"/>
            <w:gridCol w:w="2867.7377363485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40" w:before="240" w:line="240" w:lineRule="auto"/>
              <w:jc w:val="center"/>
              <w:rPr>
                <w:rFonts w:ascii="Open Sans" w:cs="Open Sans" w:eastAsia="Open Sans" w:hAnsi="Open Sa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1"/>
                <w:szCs w:val="21"/>
                <w:rtl w:val="0"/>
              </w:rPr>
              <w:t xml:space="preserve">SERVIDOR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40" w:before="240" w:line="240" w:lineRule="auto"/>
              <w:jc w:val="center"/>
              <w:rPr>
                <w:rFonts w:ascii="Open Sans" w:cs="Open Sans" w:eastAsia="Open Sans" w:hAnsi="Open San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1"/>
                <w:szCs w:val="21"/>
                <w:rtl w:val="0"/>
              </w:rPr>
              <w:t xml:space="preserve">Matrícula SIAPE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40" w:before="240" w:line="240" w:lineRule="auto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40" w:before="240" w:line="240" w:lineRule="auto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40" w:before="240" w:line="240" w:lineRule="auto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40" w:before="240" w:line="240" w:lineRule="auto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40" w:before="240" w:line="240" w:lineRule="auto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40" w:before="240" w:line="240" w:lineRule="auto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2º A Área de Almoxarifado, deste Câmpus, ficará fechada, no período de 01 a 31 de dezembro de 2022  para desenvolvimento dos trabalhos desta Comissão.</w:t>
      </w:r>
    </w:p>
    <w:p w:rsidR="00000000" w:rsidDel="00000000" w:rsidP="00000000" w:rsidRDefault="00000000" w:rsidRPr="00000000" w14:paraId="0000001B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3º Os servidores lotados no Setor de Almoxarifado, deste Câmpus, auxiliarão a Comissão, quando necessário.</w:t>
      </w:r>
    </w:p>
    <w:p w:rsidR="00000000" w:rsidDel="00000000" w:rsidP="00000000" w:rsidRDefault="00000000" w:rsidRPr="00000000" w14:paraId="0000001C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4º Compete à Comissão:</w:t>
      </w:r>
    </w:p>
    <w:p w:rsidR="00000000" w:rsidDel="00000000" w:rsidP="00000000" w:rsidRDefault="00000000" w:rsidRPr="00000000" w14:paraId="0000001D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I – Realizar o levantamento quantitativo e qualitativo dos bens do Almoxarifado, observando discrepâncias quanto à/a:</w:t>
      </w:r>
    </w:p>
    <w:p w:rsidR="00000000" w:rsidDel="00000000" w:rsidP="00000000" w:rsidRDefault="00000000" w:rsidRPr="00000000" w14:paraId="0000001E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a) ausência de identificação;</w:t>
      </w:r>
    </w:p>
    <w:p w:rsidR="00000000" w:rsidDel="00000000" w:rsidP="00000000" w:rsidRDefault="00000000" w:rsidRPr="00000000" w14:paraId="0000001F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b) ausência de registro;</w:t>
      </w:r>
    </w:p>
    <w:p w:rsidR="00000000" w:rsidDel="00000000" w:rsidP="00000000" w:rsidRDefault="00000000" w:rsidRPr="00000000" w14:paraId="00000020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c) material obsoleto;</w:t>
      </w:r>
    </w:p>
    <w:p w:rsidR="00000000" w:rsidDel="00000000" w:rsidP="00000000" w:rsidRDefault="00000000" w:rsidRPr="00000000" w14:paraId="00000021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d) material deteriorado ou danificado;</w:t>
      </w:r>
    </w:p>
    <w:p w:rsidR="00000000" w:rsidDel="00000000" w:rsidP="00000000" w:rsidRDefault="00000000" w:rsidRPr="00000000" w14:paraId="00000022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e) material com prazo de vencimento expirado ou com vencimento iminente;</w:t>
      </w:r>
    </w:p>
    <w:p w:rsidR="00000000" w:rsidDel="00000000" w:rsidP="00000000" w:rsidRDefault="00000000" w:rsidRPr="00000000" w14:paraId="00000023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f) material com pouca ou nenhuma movimentação;</w:t>
      </w:r>
    </w:p>
    <w:p w:rsidR="00000000" w:rsidDel="00000000" w:rsidP="00000000" w:rsidRDefault="00000000" w:rsidRPr="00000000" w14:paraId="00000024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g) outros casos.</w:t>
      </w:r>
    </w:p>
    <w:p w:rsidR="00000000" w:rsidDel="00000000" w:rsidP="00000000" w:rsidRDefault="00000000" w:rsidRPr="00000000" w14:paraId="00000025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II – Elaborar relatório circunstanciado dos fatos apurados nos levantamentos realizados;</w:t>
      </w:r>
    </w:p>
    <w:p w:rsidR="00000000" w:rsidDel="00000000" w:rsidP="00000000" w:rsidRDefault="00000000" w:rsidRPr="00000000" w14:paraId="00000026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III – Requisitar, previamente, materiais, equipamentos, transporte e outros meios necessários ao levantamento e vistoria dos bens do Almoxarifado.</w:t>
      </w:r>
    </w:p>
    <w:p w:rsidR="00000000" w:rsidDel="00000000" w:rsidP="00000000" w:rsidRDefault="00000000" w:rsidRPr="00000000" w14:paraId="00000027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5º O Setor de Almoxarifado voltará a operar normalmente, 01 de janeiro de 2023, sendo liberados o recebimento de requisições e a expedição de materiais.</w:t>
      </w:r>
    </w:p>
    <w:p w:rsidR="00000000" w:rsidDel="00000000" w:rsidP="00000000" w:rsidRDefault="00000000" w:rsidRPr="00000000" w14:paraId="00000028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6º Ao final de seus trabalhos, a Comissão deverá encaminhar, via processo administrativo, à Direção-Geral do Câmpus, o Relatório Final do Inventário Anual 2022 dos Bens do Almoxarifado, Câmpus ___________________________________, até 16 de dezembro de 2022.</w:t>
      </w:r>
    </w:p>
    <w:p w:rsidR="00000000" w:rsidDel="00000000" w:rsidP="00000000" w:rsidRDefault="00000000" w:rsidRPr="00000000" w14:paraId="00000029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7º Caberá a esta Direção-Geral a análise do Relatório Final do Inventário Anual 2022 dos Bens do Almoxarifado.</w:t>
      </w:r>
    </w:p>
    <w:p w:rsidR="00000000" w:rsidDel="00000000" w:rsidP="00000000" w:rsidRDefault="00000000" w:rsidRPr="00000000" w14:paraId="0000002A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§ 1º Não aprovado o Relatório, esta Direção-Geral o devolverá à Comissão, para adequações, retornando, posteriormente, para aprovação ou novas adequações.</w:t>
      </w:r>
    </w:p>
    <w:p w:rsidR="00000000" w:rsidDel="00000000" w:rsidP="00000000" w:rsidRDefault="00000000" w:rsidRPr="00000000" w14:paraId="0000002B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§ 2º Aprovado o Relatório, porém com divergências ou anormalidades verificadas, esta Direção-Geral o encaminhará ao Setor de Almoxarifado, deste Câmpus, a fim de que este as apure e adote as medidas necessárias, conforme art. 8º, retornando, após, à Direção-Geral, prosseguindo a tramitação conforme o parágrafo seguinte.</w:t>
      </w:r>
    </w:p>
    <w:p w:rsidR="00000000" w:rsidDel="00000000" w:rsidP="00000000" w:rsidRDefault="00000000" w:rsidRPr="00000000" w14:paraId="0000002C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§ 3º Aprovado o Relatório, esta Direção-Geral encaminhará Memorando Eletrônico aos Setores de Almoxarifado e Contabilidade, a fim de que tais Áreas deem continuidade aos demais trâmites a seguir informados.</w:t>
      </w:r>
    </w:p>
    <w:p w:rsidR="00000000" w:rsidDel="00000000" w:rsidP="00000000" w:rsidRDefault="00000000" w:rsidRPr="00000000" w14:paraId="0000002D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8º Recebido o Relatório aprovado, porém com divergências ou anormalidades verificadas, caberá ao Setor de Almoxarifado, deste Câmpus, apurá-las e saná-las, registrando em documento que deverá ser anexado ao Relatório.</w:t>
      </w:r>
    </w:p>
    <w:p w:rsidR="00000000" w:rsidDel="00000000" w:rsidP="00000000" w:rsidRDefault="00000000" w:rsidRPr="00000000" w14:paraId="0000002E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Parágrafo Único. Concluídas as providências descritas no caput, o Setor de Almoxarifado, deste Câmpus, deverá enviar o Relatório e seus anexos à Direção-Geral, para que se proceda à nova análise.</w:t>
      </w:r>
    </w:p>
    <w:p w:rsidR="00000000" w:rsidDel="00000000" w:rsidP="00000000" w:rsidRDefault="00000000" w:rsidRPr="00000000" w14:paraId="0000002F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9 Caberá ao Setor de Contabilidade, deste Câmpus, realizar a conciliação contábil, conforme normas definidas pelos órgãos competentes e rotinas adotadas pela área responsável.</w:t>
      </w:r>
    </w:p>
    <w:p w:rsidR="00000000" w:rsidDel="00000000" w:rsidP="00000000" w:rsidRDefault="00000000" w:rsidRPr="00000000" w14:paraId="00000030">
      <w:pPr>
        <w:spacing w:before="240" w:line="240" w:lineRule="auto"/>
        <w:jc w:val="both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Art. 10 Esta Portaria entra em vigor nesta data e tem vigência de 04 (quatro) meses.</w:t>
      </w:r>
    </w:p>
    <w:p w:rsidR="00000000" w:rsidDel="00000000" w:rsidP="00000000" w:rsidRDefault="00000000" w:rsidRPr="00000000" w14:paraId="00000031">
      <w:pPr>
        <w:spacing w:before="240" w:line="240" w:lineRule="auto"/>
        <w:jc w:val="center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jc w:val="center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3">
      <w:pPr>
        <w:spacing w:before="240" w:line="240" w:lineRule="auto"/>
        <w:jc w:val="center"/>
        <w:rPr>
          <w:rFonts w:ascii="Open Sans" w:cs="Open Sans" w:eastAsia="Open Sans" w:hAnsi="Open Sans"/>
          <w:b w:val="1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Diretor-Geral do Câmpus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Liberation Serif" w:cs="Liberation Serif" w:eastAsia="Liberation Serif" w:hAnsi="Liberation Serif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